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jc w:val="center"/>
        <w:rPr>
          <w:rFonts w:cs="Times New Roman"/>
          <w:b/>
          <w:color w:val="FF0000"/>
          <w:sz w:val="28"/>
          <w:szCs w:val="28"/>
        </w:rPr>
      </w:pPr>
    </w:p>
    <w:p>
      <w:pPr>
        <w:adjustRightInd w:val="0"/>
        <w:snapToGrid w:val="0"/>
        <w:spacing w:line="240" w:lineRule="auto"/>
        <w:ind w:firstLine="0" w:firstLineChars="0"/>
        <w:jc w:val="center"/>
        <w:rPr>
          <w:rFonts w:cs="Times New Roman"/>
          <w:b/>
          <w:color w:val="FF0000"/>
          <w:sz w:val="28"/>
          <w:szCs w:val="28"/>
        </w:rPr>
      </w:pPr>
      <w:bookmarkStart w:id="0" w:name="_Hlk4699542"/>
    </w:p>
    <w:p>
      <w:pPr>
        <w:adjustRightInd w:val="0"/>
        <w:snapToGrid w:val="0"/>
        <w:spacing w:line="240" w:lineRule="auto"/>
        <w:ind w:firstLine="0" w:firstLineChars="0"/>
        <w:jc w:val="center"/>
        <w:rPr>
          <w:rFonts w:cs="Times New Roman"/>
          <w:b/>
          <w:color w:val="FF0000"/>
          <w:sz w:val="28"/>
          <w:szCs w:val="28"/>
        </w:rPr>
      </w:pPr>
    </w:p>
    <w:p>
      <w:pPr>
        <w:adjustRightInd w:val="0"/>
        <w:snapToGrid w:val="0"/>
        <w:spacing w:line="240" w:lineRule="auto"/>
        <w:ind w:firstLine="0" w:firstLineChars="0"/>
        <w:jc w:val="center"/>
        <w:rPr>
          <w:rFonts w:cs="Times New Roman"/>
          <w:b/>
          <w:sz w:val="28"/>
          <w:szCs w:val="28"/>
        </w:rPr>
      </w:pPr>
    </w:p>
    <w:bookmarkEnd w:id="0"/>
    <w:p>
      <w:pPr>
        <w:adjustRightInd w:val="0"/>
        <w:snapToGrid w:val="0"/>
        <w:spacing w:line="360" w:lineRule="auto"/>
        <w:ind w:firstLine="0" w:firstLineChars="0"/>
        <w:jc w:val="center"/>
        <w:rPr>
          <w:rFonts w:cs="Times New Roman"/>
          <w:b/>
          <w:sz w:val="56"/>
          <w:szCs w:val="72"/>
        </w:rPr>
      </w:pPr>
      <w:bookmarkStart w:id="1" w:name="_Hlk68761675"/>
      <w:r>
        <w:rPr>
          <w:rFonts w:hint="eastAsia" w:cs="Times New Roman"/>
          <w:b/>
          <w:sz w:val="56"/>
          <w:szCs w:val="72"/>
        </w:rPr>
        <w:t>盛虹炼化一体化仓储罐区</w:t>
      </w:r>
    </w:p>
    <w:p>
      <w:pPr>
        <w:adjustRightInd w:val="0"/>
        <w:snapToGrid w:val="0"/>
        <w:spacing w:line="360" w:lineRule="auto"/>
        <w:ind w:firstLine="0" w:firstLineChars="0"/>
        <w:jc w:val="center"/>
        <w:rPr>
          <w:rFonts w:cs="Times New Roman"/>
          <w:b/>
          <w:sz w:val="56"/>
          <w:szCs w:val="72"/>
        </w:rPr>
      </w:pPr>
      <w:r>
        <w:rPr>
          <w:rFonts w:hint="eastAsia" w:cs="Times New Roman"/>
          <w:b/>
          <w:sz w:val="56"/>
          <w:szCs w:val="72"/>
        </w:rPr>
        <w:t>（港前大道东地块）项目</w:t>
      </w:r>
      <w:bookmarkEnd w:id="1"/>
    </w:p>
    <w:p>
      <w:pPr>
        <w:ind w:firstLine="0" w:firstLineChars="0"/>
        <w:jc w:val="center"/>
        <w:rPr>
          <w:rFonts w:cs="Times New Roman"/>
          <w:b/>
          <w:sz w:val="52"/>
          <w:szCs w:val="52"/>
        </w:rPr>
      </w:pPr>
    </w:p>
    <w:p>
      <w:pPr>
        <w:spacing w:line="240" w:lineRule="auto"/>
        <w:ind w:firstLine="0" w:firstLineChars="0"/>
        <w:jc w:val="center"/>
        <w:rPr>
          <w:rFonts w:cs="Times New Roman"/>
          <w:b/>
          <w:sz w:val="52"/>
          <w:szCs w:val="52"/>
        </w:rPr>
      </w:pPr>
    </w:p>
    <w:p>
      <w:pPr>
        <w:adjustRightInd w:val="0"/>
        <w:snapToGrid w:val="0"/>
        <w:spacing w:line="360" w:lineRule="auto"/>
        <w:ind w:firstLine="0" w:firstLineChars="0"/>
        <w:jc w:val="center"/>
        <w:rPr>
          <w:rFonts w:cs="Times New Roman"/>
          <w:b/>
          <w:sz w:val="52"/>
          <w:szCs w:val="52"/>
        </w:rPr>
      </w:pPr>
      <w:r>
        <w:rPr>
          <w:rFonts w:cs="Times New Roman"/>
          <w:b/>
          <w:sz w:val="52"/>
          <w:szCs w:val="52"/>
        </w:rPr>
        <w:t>环境影响评价公众参与说明</w:t>
      </w:r>
    </w:p>
    <w:p>
      <w:pPr>
        <w:ind w:firstLine="560"/>
        <w:jc w:val="center"/>
        <w:rPr>
          <w:rFonts w:cs="Times New Roman"/>
          <w:sz w:val="28"/>
          <w:szCs w:val="28"/>
        </w:rPr>
      </w:pPr>
    </w:p>
    <w:p>
      <w:pPr>
        <w:ind w:firstLine="560"/>
        <w:jc w:val="center"/>
        <w:rPr>
          <w:rFonts w:cs="Times New Roman"/>
          <w:sz w:val="28"/>
          <w:szCs w:val="28"/>
        </w:rPr>
      </w:pPr>
    </w:p>
    <w:p>
      <w:pPr>
        <w:ind w:firstLine="560"/>
        <w:jc w:val="center"/>
        <w:rPr>
          <w:rFonts w:cs="Times New Roman"/>
          <w:sz w:val="28"/>
          <w:szCs w:val="28"/>
        </w:rPr>
      </w:pPr>
    </w:p>
    <w:p>
      <w:pPr>
        <w:ind w:firstLine="560"/>
        <w:jc w:val="center"/>
        <w:rPr>
          <w:rFonts w:cs="Times New Roman"/>
          <w:sz w:val="28"/>
          <w:szCs w:val="28"/>
        </w:rPr>
      </w:pPr>
    </w:p>
    <w:p>
      <w:pPr>
        <w:ind w:firstLine="560"/>
        <w:jc w:val="center"/>
        <w:rPr>
          <w:rFonts w:cs="Times New Roman"/>
          <w:sz w:val="28"/>
          <w:szCs w:val="28"/>
        </w:rPr>
      </w:pPr>
    </w:p>
    <w:p>
      <w:pPr>
        <w:ind w:firstLine="560"/>
        <w:jc w:val="center"/>
        <w:rPr>
          <w:rFonts w:cs="Times New Roman"/>
          <w:sz w:val="28"/>
          <w:szCs w:val="28"/>
        </w:rPr>
      </w:pPr>
    </w:p>
    <w:p>
      <w:pPr>
        <w:ind w:firstLine="560"/>
        <w:jc w:val="center"/>
        <w:rPr>
          <w:rFonts w:cs="Times New Roman"/>
          <w:sz w:val="28"/>
          <w:szCs w:val="28"/>
        </w:rPr>
      </w:pPr>
    </w:p>
    <w:p>
      <w:pPr>
        <w:ind w:firstLine="643"/>
        <w:jc w:val="center"/>
        <w:rPr>
          <w:rFonts w:cs="Times New Roman"/>
          <w:b/>
          <w:sz w:val="32"/>
          <w:szCs w:val="32"/>
        </w:rPr>
      </w:pPr>
      <w:r>
        <w:rPr>
          <w:rFonts w:hint="eastAsia" w:cs="Times New Roman"/>
          <w:b/>
          <w:sz w:val="32"/>
          <w:szCs w:val="32"/>
        </w:rPr>
        <w:t>盛虹炼化（连云港）有限公司</w:t>
      </w:r>
    </w:p>
    <w:p>
      <w:pPr>
        <w:ind w:firstLine="643"/>
        <w:jc w:val="center"/>
        <w:rPr>
          <w:rFonts w:cs="Times New Roman"/>
          <w:b/>
          <w:sz w:val="32"/>
          <w:szCs w:val="32"/>
        </w:rPr>
      </w:pPr>
      <w:r>
        <w:rPr>
          <w:rFonts w:cs="Times New Roman"/>
          <w:b/>
          <w:sz w:val="32"/>
          <w:szCs w:val="32"/>
        </w:rPr>
        <w:t>2022年1月</w:t>
      </w:r>
    </w:p>
    <w:p>
      <w:pPr>
        <w:ind w:firstLine="562"/>
        <w:rPr>
          <w:rFonts w:cs="Times New Roman"/>
          <w:b/>
          <w:color w:val="FF0000"/>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ascii="Times New Roman" w:hAnsi="Times New Roman" w:eastAsia="宋体" w:cs="Times New Roman"/>
          <w:color w:val="FF0000"/>
          <w:kern w:val="2"/>
          <w:sz w:val="28"/>
          <w:szCs w:val="28"/>
          <w:lang w:val="zh-CN"/>
        </w:rPr>
        <w:id w:val="1560904379"/>
        <w:docPartObj>
          <w:docPartGallery w:val="Table of Contents"/>
          <w:docPartUnique/>
        </w:docPartObj>
      </w:sdtPr>
      <w:sdtEndPr>
        <w:rPr>
          <w:rFonts w:ascii="Times New Roman" w:hAnsi="Times New Roman" w:eastAsia="宋体" w:cs="Times New Roman"/>
          <w:b/>
          <w:bCs/>
          <w:color w:val="FF0000"/>
          <w:kern w:val="2"/>
          <w:sz w:val="28"/>
          <w:szCs w:val="28"/>
          <w:lang w:val="zh-CN"/>
        </w:rPr>
      </w:sdtEndPr>
      <w:sdtContent>
        <w:p>
          <w:pPr>
            <w:pStyle w:val="43"/>
            <w:jc w:val="center"/>
            <w:rPr>
              <w:rFonts w:ascii="Times New Roman" w:hAnsi="Times New Roman" w:eastAsia="宋体" w:cs="Times New Roman"/>
              <w:b/>
              <w:color w:val="auto"/>
              <w:sz w:val="40"/>
              <w:szCs w:val="28"/>
              <w:lang w:val="zh-CN"/>
            </w:rPr>
          </w:pPr>
          <w:r>
            <w:rPr>
              <w:rFonts w:ascii="Times New Roman" w:hAnsi="Times New Roman" w:eastAsia="宋体" w:cs="Times New Roman"/>
              <w:b/>
              <w:color w:val="auto"/>
              <w:sz w:val="40"/>
              <w:szCs w:val="28"/>
              <w:lang w:val="zh-CN"/>
            </w:rPr>
            <w:t>目录</w:t>
          </w:r>
        </w:p>
        <w:p>
          <w:pPr>
            <w:pStyle w:val="16"/>
            <w:rPr>
              <w:rFonts w:asciiTheme="minorHAnsi" w:hAnsiTheme="minorHAnsi" w:eastAsiaTheme="minorEastAsia"/>
              <w:sz w:val="21"/>
            </w:rPr>
          </w:pPr>
          <w:r>
            <w:rPr>
              <w:rFonts w:cs="Times New Roman"/>
              <w:b/>
              <w:sz w:val="28"/>
              <w:szCs w:val="28"/>
            </w:rPr>
            <w:fldChar w:fldCharType="begin"/>
          </w:r>
          <w:r>
            <w:rPr>
              <w:rFonts w:cs="Times New Roman"/>
              <w:b/>
              <w:sz w:val="28"/>
              <w:szCs w:val="28"/>
            </w:rPr>
            <w:instrText xml:space="preserve"> TOC \o "1-3" \h \z \u </w:instrText>
          </w:r>
          <w:r>
            <w:rPr>
              <w:rFonts w:cs="Times New Roman"/>
              <w:b/>
              <w:sz w:val="28"/>
              <w:szCs w:val="28"/>
            </w:rPr>
            <w:fldChar w:fldCharType="separate"/>
          </w:r>
          <w:r>
            <w:fldChar w:fldCharType="begin"/>
          </w:r>
          <w:r>
            <w:instrText xml:space="preserve"> HYPERLINK \l "_Toc76542517" </w:instrText>
          </w:r>
          <w:r>
            <w:fldChar w:fldCharType="separate"/>
          </w:r>
          <w:r>
            <w:rPr>
              <w:rStyle w:val="23"/>
              <w:rFonts w:cs="Times New Roman"/>
              <w:color w:val="auto"/>
            </w:rPr>
            <w:t>1 概述</w:t>
          </w:r>
          <w:r>
            <w:tab/>
          </w:r>
          <w:r>
            <w:fldChar w:fldCharType="begin"/>
          </w:r>
          <w:r>
            <w:instrText xml:space="preserve"> PAGEREF _Toc76542517 \h </w:instrText>
          </w:r>
          <w:r>
            <w:fldChar w:fldCharType="separate"/>
          </w:r>
          <w:r>
            <w:t>1</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"_Toc76542518" </w:instrText>
          </w:r>
          <w:r>
            <w:fldChar w:fldCharType="separate"/>
          </w:r>
          <w:r>
            <w:rPr>
              <w:rStyle w:val="23"/>
              <w:rFonts w:cs="Times New Roman"/>
              <w:color w:val="auto"/>
            </w:rPr>
            <w:t>2 首次环境影响评价信息公开情况</w:t>
          </w:r>
          <w:r>
            <w:tab/>
          </w:r>
          <w:r>
            <w:fldChar w:fldCharType="begin"/>
          </w:r>
          <w:r>
            <w:instrText xml:space="preserve"> PAGEREF _Toc76542518 \h </w:instrText>
          </w:r>
          <w:r>
            <w:fldChar w:fldCharType="separate"/>
          </w:r>
          <w:r>
            <w:t>6</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"_Toc76542519" </w:instrText>
          </w:r>
          <w:r>
            <w:fldChar w:fldCharType="separate"/>
          </w:r>
          <w:r>
            <w:rPr>
              <w:rStyle w:val="23"/>
              <w:rFonts w:cs="Times New Roman"/>
              <w:color w:val="auto"/>
            </w:rPr>
            <w:t>2.1 公开内容及日期</w:t>
          </w:r>
          <w:r>
            <w:tab/>
          </w:r>
          <w:r>
            <w:fldChar w:fldCharType="begin"/>
          </w:r>
          <w:r>
            <w:instrText xml:space="preserve"> PAGEREF _Toc76542519 \h </w:instrText>
          </w:r>
          <w:r>
            <w:fldChar w:fldCharType="separate"/>
          </w:r>
          <w:r>
            <w:t>6</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"_Toc76542520" </w:instrText>
          </w:r>
          <w:r>
            <w:fldChar w:fldCharType="separate"/>
          </w:r>
          <w:r>
            <w:rPr>
              <w:rStyle w:val="23"/>
              <w:rFonts w:cs="Times New Roman"/>
              <w:color w:val="auto"/>
            </w:rPr>
            <w:t>2.2 公开方式</w:t>
          </w:r>
          <w:r>
            <w:tab/>
          </w:r>
          <w:r>
            <w:fldChar w:fldCharType="begin"/>
          </w:r>
          <w:r>
            <w:instrText xml:space="preserve"> PAGEREF _Toc76542520 \h </w:instrText>
          </w:r>
          <w:r>
            <w:fldChar w:fldCharType="separate"/>
          </w:r>
          <w:r>
            <w:t>6</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"_Toc76542521" </w:instrText>
          </w:r>
          <w:r>
            <w:fldChar w:fldCharType="separate"/>
          </w:r>
          <w:r>
            <w:rPr>
              <w:rStyle w:val="23"/>
              <w:rFonts w:cs="Times New Roman"/>
              <w:color w:val="auto"/>
            </w:rPr>
            <w:t>2.3 公众意见情况</w:t>
          </w:r>
          <w:r>
            <w:tab/>
          </w:r>
          <w:r>
            <w:fldChar w:fldCharType="begin"/>
          </w:r>
          <w:r>
            <w:instrText xml:space="preserve"> PAGEREF _Toc76542521 \h </w:instrText>
          </w:r>
          <w:r>
            <w:fldChar w:fldCharType="separate"/>
          </w:r>
          <w:r>
            <w:t>7</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"_Toc76542522" </w:instrText>
          </w:r>
          <w:r>
            <w:fldChar w:fldCharType="separate"/>
          </w:r>
          <w:r>
            <w:rPr>
              <w:rStyle w:val="23"/>
              <w:rFonts w:cs="Times New Roman"/>
              <w:color w:val="auto"/>
            </w:rPr>
            <w:t>3 征求意见稿公示情况</w:t>
          </w:r>
          <w:r>
            <w:tab/>
          </w:r>
          <w:r>
            <w:fldChar w:fldCharType="begin"/>
          </w:r>
          <w:r>
            <w:instrText xml:space="preserve"> PAGEREF _Toc76542522 \h </w:instrText>
          </w:r>
          <w:r>
            <w:fldChar w:fldCharType="separate"/>
          </w:r>
          <w:r>
            <w:t>10</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"_Toc76542523" </w:instrText>
          </w:r>
          <w:r>
            <w:fldChar w:fldCharType="separate"/>
          </w:r>
          <w:r>
            <w:rPr>
              <w:rStyle w:val="23"/>
              <w:rFonts w:cs="Times New Roman"/>
              <w:color w:val="auto"/>
            </w:rPr>
            <w:t>3.1 公示内容及时限</w:t>
          </w:r>
          <w:r>
            <w:tab/>
          </w:r>
          <w:r>
            <w:fldChar w:fldCharType="begin"/>
          </w:r>
          <w:r>
            <w:instrText xml:space="preserve"> PAGEREF _Toc76542523 \h </w:instrText>
          </w:r>
          <w:r>
            <w:fldChar w:fldCharType="separate"/>
          </w:r>
          <w:r>
            <w:t>10</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"_Toc76542524" </w:instrText>
          </w:r>
          <w:r>
            <w:fldChar w:fldCharType="separate"/>
          </w:r>
          <w:r>
            <w:rPr>
              <w:rStyle w:val="23"/>
              <w:rFonts w:cs="Times New Roman"/>
              <w:color w:val="auto"/>
            </w:rPr>
            <w:t>3.2 公示方式</w:t>
          </w:r>
          <w:r>
            <w:tab/>
          </w:r>
          <w:r>
            <w:fldChar w:fldCharType="begin"/>
          </w:r>
          <w:r>
            <w:instrText xml:space="preserve"> PAGEREF _Toc76542524 \h </w:instrText>
          </w:r>
          <w:r>
            <w:fldChar w:fldCharType="separate"/>
          </w:r>
          <w:r>
            <w:t>10</w:t>
          </w:r>
          <w:r>
            <w:fldChar w:fldCharType="end"/>
          </w:r>
          <w:r>
            <w:fldChar w:fldCharType="end"/>
          </w:r>
        </w:p>
        <w:p>
          <w:pPr>
            <w:pStyle w:val="12"/>
            <w:rPr>
              <w:rFonts w:asciiTheme="minorHAnsi" w:hAnsiTheme="minorHAnsi" w:eastAsiaTheme="minorEastAsia"/>
              <w:sz w:val="21"/>
            </w:rPr>
          </w:pPr>
          <w:r>
            <w:fldChar w:fldCharType="begin"/>
          </w:r>
          <w:r>
            <w:instrText xml:space="preserve"> HYPERLINK \l "_Toc76542525" </w:instrText>
          </w:r>
          <w:r>
            <w:fldChar w:fldCharType="separate"/>
          </w:r>
          <w:r>
            <w:rPr>
              <w:rStyle w:val="23"/>
              <w:rFonts w:cs="Times New Roman"/>
              <w:color w:val="auto"/>
            </w:rPr>
            <w:t>3.2.1 网络</w:t>
          </w:r>
          <w:r>
            <w:tab/>
          </w:r>
          <w:r>
            <w:fldChar w:fldCharType="begin"/>
          </w:r>
          <w:r>
            <w:instrText xml:space="preserve"> PAGEREF _Toc76542525 \h </w:instrText>
          </w:r>
          <w:r>
            <w:fldChar w:fldCharType="separate"/>
          </w:r>
          <w:r>
            <w:t>10</w:t>
          </w:r>
          <w:r>
            <w:fldChar w:fldCharType="end"/>
          </w:r>
          <w:r>
            <w:fldChar w:fldCharType="end"/>
          </w:r>
        </w:p>
        <w:p>
          <w:pPr>
            <w:pStyle w:val="12"/>
            <w:rPr>
              <w:rFonts w:asciiTheme="minorHAnsi" w:hAnsiTheme="minorHAnsi" w:eastAsiaTheme="minorEastAsia"/>
              <w:sz w:val="21"/>
            </w:rPr>
          </w:pPr>
          <w:r>
            <w:fldChar w:fldCharType="begin"/>
          </w:r>
          <w:r>
            <w:instrText xml:space="preserve"> HYPERLINK \l "_Toc76542526" </w:instrText>
          </w:r>
          <w:r>
            <w:fldChar w:fldCharType="separate"/>
          </w:r>
          <w:r>
            <w:rPr>
              <w:rStyle w:val="23"/>
              <w:rFonts w:cs="Times New Roman"/>
              <w:color w:val="auto"/>
            </w:rPr>
            <w:t>3.2.2 报纸</w:t>
          </w:r>
          <w:r>
            <w:tab/>
          </w:r>
          <w:r>
            <w:fldChar w:fldCharType="begin"/>
          </w:r>
          <w:r>
            <w:instrText xml:space="preserve"> PAGEREF _Toc76542526 \h </w:instrText>
          </w:r>
          <w:r>
            <w:fldChar w:fldCharType="separate"/>
          </w:r>
          <w:r>
            <w:t>12</w:t>
          </w:r>
          <w:r>
            <w:fldChar w:fldCharType="end"/>
          </w:r>
          <w:r>
            <w:fldChar w:fldCharType="end"/>
          </w:r>
        </w:p>
        <w:p>
          <w:pPr>
            <w:pStyle w:val="12"/>
            <w:rPr>
              <w:rFonts w:asciiTheme="minorHAnsi" w:hAnsiTheme="minorHAnsi" w:eastAsiaTheme="minorEastAsia"/>
              <w:sz w:val="21"/>
            </w:rPr>
          </w:pPr>
          <w:r>
            <w:fldChar w:fldCharType="begin"/>
          </w:r>
          <w:r>
            <w:instrText xml:space="preserve"> HYPERLINK \l "_Toc76542527" </w:instrText>
          </w:r>
          <w:r>
            <w:fldChar w:fldCharType="separate"/>
          </w:r>
          <w:r>
            <w:rPr>
              <w:rStyle w:val="23"/>
              <w:rFonts w:cs="Times New Roman"/>
              <w:color w:val="auto"/>
            </w:rPr>
            <w:t>3.2.3 张贴公告</w:t>
          </w:r>
          <w:r>
            <w:tab/>
          </w:r>
          <w:r>
            <w:fldChar w:fldCharType="begin"/>
          </w:r>
          <w:r>
            <w:instrText xml:space="preserve"> PAGEREF _Toc76542527 \h </w:instrText>
          </w:r>
          <w:r>
            <w:fldChar w:fldCharType="separate"/>
          </w:r>
          <w:r>
            <w:t>14</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"_Toc76542528" </w:instrText>
          </w:r>
          <w:r>
            <w:fldChar w:fldCharType="separate"/>
          </w:r>
          <w:r>
            <w:rPr>
              <w:rStyle w:val="23"/>
              <w:rFonts w:cs="Times New Roman"/>
              <w:color w:val="auto"/>
            </w:rPr>
            <w:t>3.3 公众提出意见情况</w:t>
          </w:r>
          <w:r>
            <w:tab/>
          </w:r>
          <w:r>
            <w:fldChar w:fldCharType="begin"/>
          </w:r>
          <w:r>
            <w:instrText xml:space="preserve"> PAGEREF _Toc76542528 \h </w:instrText>
          </w:r>
          <w:r>
            <w:fldChar w:fldCharType="separate"/>
          </w:r>
          <w:r>
            <w:t>16</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"_Toc76542529" </w:instrText>
          </w:r>
          <w:r>
            <w:fldChar w:fldCharType="separate"/>
          </w:r>
          <w:r>
            <w:rPr>
              <w:rStyle w:val="23"/>
              <w:rFonts w:cs="Times New Roman"/>
              <w:color w:val="auto"/>
            </w:rPr>
            <w:t>4 其他公众参与情况</w:t>
          </w:r>
          <w:r>
            <w:tab/>
          </w:r>
          <w:r>
            <w:fldChar w:fldCharType="begin"/>
          </w:r>
          <w:r>
            <w:instrText xml:space="preserve"> PAGEREF _Toc76542529 \h </w:instrText>
          </w:r>
          <w:r>
            <w:fldChar w:fldCharType="separate"/>
          </w:r>
          <w:r>
            <w:t>17</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"_Toc76542530" </w:instrText>
          </w:r>
          <w:r>
            <w:fldChar w:fldCharType="separate"/>
          </w:r>
          <w:r>
            <w:rPr>
              <w:rStyle w:val="23"/>
              <w:rFonts w:cs="Times New Roman"/>
              <w:color w:val="auto"/>
            </w:rPr>
            <w:t>5 公众意见处理</w:t>
          </w:r>
          <w:r>
            <w:tab/>
          </w:r>
          <w:r>
            <w:fldChar w:fldCharType="begin"/>
          </w:r>
          <w:r>
            <w:instrText xml:space="preserve"> PAGEREF _Toc76542530 \h </w:instrText>
          </w:r>
          <w:r>
            <w:fldChar w:fldCharType="separate"/>
          </w:r>
          <w:r>
            <w:t>18</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"_Toc76542531" </w:instrText>
          </w:r>
          <w:r>
            <w:fldChar w:fldCharType="separate"/>
          </w:r>
          <w:r>
            <w:rPr>
              <w:rStyle w:val="23"/>
              <w:rFonts w:cs="Times New Roman"/>
              <w:color w:val="auto"/>
            </w:rPr>
            <w:t>6 诚信承诺</w:t>
          </w:r>
          <w:r>
            <w:tab/>
          </w:r>
          <w:r>
            <w:fldChar w:fldCharType="begin"/>
          </w:r>
          <w:r>
            <w:instrText xml:space="preserve"> PAGEREF _Toc76542531 \h </w:instrText>
          </w:r>
          <w:r>
            <w:fldChar w:fldCharType="separate"/>
          </w:r>
          <w:r>
            <w:t>19</w:t>
          </w:r>
          <w:r>
            <w:fldChar w:fldCharType="end"/>
          </w:r>
          <w:r>
            <w:fldChar w:fldCharType="end"/>
          </w:r>
        </w:p>
        <w:p>
          <w:pPr>
            <w:adjustRightInd w:val="0"/>
            <w:ind w:firstLine="0" w:firstLineChars="0"/>
            <w:rPr>
              <w:rFonts w:cs="Times New Roman"/>
              <w:b/>
              <w:color w:val="FF0000"/>
              <w:sz w:val="28"/>
              <w:szCs w:val="28"/>
            </w:rPr>
          </w:pPr>
          <w:r>
            <w:rPr>
              <w:rFonts w:cs="Times New Roman"/>
              <w:b/>
              <w:bCs/>
              <w:sz w:val="28"/>
              <w:szCs w:val="28"/>
              <w:lang w:val="zh-CN"/>
            </w:rPr>
            <w:fldChar w:fldCharType="end"/>
          </w:r>
        </w:p>
      </w:sdtContent>
    </w:sdt>
    <w:p>
      <w:pPr>
        <w:pStyle w:val="43"/>
        <w:rPr>
          <w:rFonts w:ascii="Times New Roman" w:hAnsi="Times New Roman" w:eastAsia="宋体" w:cs="Times New Roman"/>
          <w:color w:val="FF0000"/>
          <w:sz w:val="28"/>
          <w:szCs w:val="28"/>
          <w:lang w:val="zh-CN"/>
        </w:rPr>
        <w:sectPr>
          <w:footerReference r:id="rId11" w:type="default"/>
          <w:pgSz w:w="11906" w:h="16838"/>
          <w:pgMar w:top="1440" w:right="1800" w:bottom="1440" w:left="1800" w:header="851" w:footer="992" w:gutter="0"/>
          <w:pgNumType w:fmt="upperRoman" w:start="1"/>
          <w:cols w:space="425" w:num="1"/>
          <w:docGrid w:type="lines" w:linePitch="312" w:charSpace="0"/>
        </w:sectPr>
      </w:pPr>
    </w:p>
    <w:p>
      <w:pPr>
        <w:pStyle w:val="2"/>
        <w:spacing w:before="163" w:after="163"/>
        <w:rPr>
          <w:rFonts w:cs="Times New Roman"/>
          <w:sz w:val="36"/>
          <w:szCs w:val="36"/>
        </w:rPr>
      </w:pPr>
      <w:bookmarkStart w:id="2" w:name="_Toc76542517"/>
      <w:r>
        <w:rPr>
          <w:rFonts w:cs="Times New Roman"/>
          <w:sz w:val="36"/>
          <w:szCs w:val="36"/>
        </w:rPr>
        <w:t xml:space="preserve">1 </w:t>
      </w:r>
      <w:r>
        <w:rPr>
          <w:rFonts w:cs="Times New Roman"/>
          <w:kern w:val="2"/>
          <w:sz w:val="36"/>
          <w:szCs w:val="36"/>
        </w:rPr>
        <w:t>概述</w:t>
      </w:r>
      <w:bookmarkEnd w:id="2"/>
    </w:p>
    <w:p>
      <w:pPr>
        <w:autoSpaceDE w:val="0"/>
        <w:autoSpaceDN w:val="0"/>
        <w:adjustRightInd w:val="0"/>
        <w:ind w:firstLine="560"/>
        <w:rPr>
          <w:rFonts w:cs="Times New Roman"/>
          <w:bCs/>
          <w:sz w:val="28"/>
          <w:szCs w:val="28"/>
        </w:rPr>
      </w:pPr>
      <w:r>
        <w:rPr>
          <w:rFonts w:hint="eastAsia" w:cs="Times New Roman"/>
          <w:bCs/>
          <w:sz w:val="28"/>
          <w:szCs w:val="28"/>
        </w:rPr>
        <w:t>徐圩新区总规划面积约467平方公里，其中，徐圩港区74平方公里，临港产业区153平方公里，非常适宜布局和发展临港大工业。按照国家和省有关规划要求，新区把培育和发展新型临港重大产业、打造世界级石化产业基地作为主要任务。连云港石化产业基地是国家规划布局的七大石化产业基地之一，规划面积61.34km</w:t>
      </w:r>
      <w:r>
        <w:rPr>
          <w:rFonts w:hint="eastAsia" w:cs="Times New Roman"/>
          <w:bCs/>
          <w:sz w:val="28"/>
          <w:szCs w:val="28"/>
          <w:vertAlign w:val="superscript"/>
        </w:rPr>
        <w:t>2</w:t>
      </w:r>
      <w:r>
        <w:rPr>
          <w:rFonts w:hint="eastAsia" w:cs="Times New Roman"/>
          <w:bCs/>
          <w:sz w:val="28"/>
          <w:szCs w:val="28"/>
        </w:rPr>
        <w:t>，位于连云港徐圩新区（国家东中西区域合作示范区的先导区）范围内，以每年4000万吨级炼油、300万吨级乙烯、400万吨级芳烃一体化为基础，以多元化原料加工为补充，以清洁能源、有机原料和合成材料为主体，以化工新材料和精细化工为特色，形成多产品链、多产品集群的大型炼化一体化基地。</w:t>
      </w:r>
    </w:p>
    <w:p>
      <w:pPr>
        <w:autoSpaceDE w:val="0"/>
        <w:autoSpaceDN w:val="0"/>
        <w:adjustRightInd w:val="0"/>
        <w:ind w:firstLine="560"/>
        <w:rPr>
          <w:rFonts w:cs="Times New Roman"/>
          <w:bCs/>
          <w:sz w:val="28"/>
          <w:szCs w:val="28"/>
        </w:rPr>
      </w:pPr>
      <w:r>
        <w:rPr>
          <w:rFonts w:hint="eastAsia" w:cs="Times New Roman"/>
          <w:bCs/>
          <w:sz w:val="28"/>
          <w:szCs w:val="28"/>
        </w:rPr>
        <w:t>根据《连云港石化产业基地总体发展规划》，基地规划集中的物流仓储区位于石化产业基地东部，紧邻徐圩新区港区布置一处物流仓储区，西部紧邻基地规划的外接铁路。《连云港石化产业基地总体发展规划》建议：（1）结合石化产业基地的产业结构和区内企业的特点，有针对性地选择土地并修建物流设施，完善区内配套服务设施；（2）充分利用区内外的交通资源，将区内的物流设施与区外的公路、铁路和管廊连为一体，提供多模式运作的一体化物流服务；（3）合理利用区内物流资源，并实现资源共享，提高运作效率，节约化工基地用地；（4）物流仓储区应作为石化产业基地建设的一个重要环节来抓，要建立基础，理顺体系，建立高效运输系统。</w:t>
      </w:r>
    </w:p>
    <w:p>
      <w:pPr>
        <w:autoSpaceDE w:val="0"/>
        <w:autoSpaceDN w:val="0"/>
        <w:adjustRightInd w:val="0"/>
        <w:ind w:firstLine="560"/>
        <w:rPr>
          <w:rFonts w:cs="Times New Roman"/>
          <w:bCs/>
          <w:sz w:val="28"/>
          <w:szCs w:val="28"/>
        </w:rPr>
      </w:pPr>
      <w:r>
        <w:rPr>
          <w:rFonts w:hint="eastAsia" w:cs="Times New Roman"/>
          <w:bCs/>
          <w:sz w:val="28"/>
          <w:szCs w:val="28"/>
        </w:rPr>
        <w:t>盛虹控股集团有限公司（以下简称盛虹集团）成立于1992年，总部位于苏州盛泽。盛虹集团始终专注实体经济发展，不断聚合资源、聚力创新，构建出一条从印染、化纤到石化、炼化的新型高端纺织产业链，成长为一家以石化、纺织、能源为主业的创新型高科技产业集团，目前员工3万余人。2019年，盛虹集团排名“中国企业500强”第132位、“中国民营企业500强”第29位。盛虹集团结合自身战略发展及延伸产业链要求，已在连云港石化产业基地建设石化项目，旗下的江苏虹港石化有限公司年产150万吨PTA项目、连云港新荣泰码头有限公司3个液体化工泊位、连云港荣泰化工仓储有限公司罐区工程、江苏斯尔邦石化有限公司醇基多联产项目均已投入运行。</w:t>
      </w:r>
    </w:p>
    <w:p>
      <w:pPr>
        <w:autoSpaceDE w:val="0"/>
        <w:autoSpaceDN w:val="0"/>
        <w:adjustRightInd w:val="0"/>
        <w:ind w:firstLine="560"/>
        <w:rPr>
          <w:rFonts w:cs="Times New Roman"/>
          <w:bCs/>
          <w:sz w:val="28"/>
          <w:szCs w:val="28"/>
        </w:rPr>
      </w:pPr>
      <w:r>
        <w:rPr>
          <w:rFonts w:hint="eastAsia" w:cs="Times New Roman"/>
          <w:bCs/>
          <w:sz w:val="28"/>
          <w:szCs w:val="28"/>
        </w:rPr>
        <w:t>盛虹炼化（连云港）有限公司在连云港石化产业基地建设炼化一体化项目，该项目已列入国务院《石化产业规划布局方案（修订版）》。</w:t>
      </w:r>
    </w:p>
    <w:p>
      <w:pPr>
        <w:autoSpaceDE w:val="0"/>
        <w:autoSpaceDN w:val="0"/>
        <w:adjustRightInd w:val="0"/>
        <w:ind w:firstLine="560"/>
        <w:rPr>
          <w:rFonts w:cs="Times New Roman"/>
          <w:bCs/>
          <w:sz w:val="28"/>
          <w:szCs w:val="28"/>
        </w:rPr>
      </w:pPr>
      <w:r>
        <w:rPr>
          <w:rFonts w:hint="eastAsia" w:cs="Times New Roman"/>
          <w:bCs/>
          <w:sz w:val="28"/>
          <w:szCs w:val="28"/>
        </w:rPr>
        <w:t>盛虹炼化一体化项目建设规模为1600万t/a炼油、280万t/a芳烃、110万t/a乙烯，建设内容包括陆域工程、配套码头工程及依托工程。陆域工程包括炼油装置、芳烃装置、化工装置、IGCC、储运工程及相应配套公用工程设施。配套码头工程包括1个30万吨级原油泊位和4个5万吨级液体散货泊位。</w:t>
      </w:r>
    </w:p>
    <w:p>
      <w:pPr>
        <w:autoSpaceDE w:val="0"/>
        <w:autoSpaceDN w:val="0"/>
        <w:adjustRightInd w:val="0"/>
        <w:ind w:firstLine="560"/>
        <w:rPr>
          <w:rFonts w:cs="Times New Roman"/>
          <w:bCs/>
          <w:sz w:val="28"/>
          <w:szCs w:val="28"/>
        </w:rPr>
      </w:pPr>
      <w:r>
        <w:rPr>
          <w:rFonts w:hint="eastAsia" w:cs="Times New Roman"/>
          <w:bCs/>
          <w:sz w:val="28"/>
          <w:szCs w:val="28"/>
        </w:rPr>
        <w:t>①配套汽油储罐</w:t>
      </w:r>
    </w:p>
    <w:p>
      <w:pPr>
        <w:autoSpaceDE w:val="0"/>
        <w:autoSpaceDN w:val="0"/>
        <w:adjustRightInd w:val="0"/>
        <w:ind w:firstLine="560"/>
        <w:rPr>
          <w:rFonts w:cs="Times New Roman"/>
          <w:bCs/>
          <w:sz w:val="28"/>
          <w:szCs w:val="28"/>
        </w:rPr>
      </w:pPr>
      <w:r>
        <w:rPr>
          <w:rFonts w:hint="eastAsia" w:cs="Times New Roman"/>
          <w:bCs/>
          <w:sz w:val="28"/>
          <w:szCs w:val="28"/>
        </w:rPr>
        <w:t>为解决郑州和徐州成品油资源相对短缺，现有系统无法高效、快捷补充及解决地区成品油资源调拨难题，同时充分利用连云港独特的地理优势、优良的港口条件及设施，可以将豫中、华东、福建等地区的成品油运输和销售系统完善成一个畅通、高效、稳定的体系，全面提升地区经济发展实力，国家管网集团公司拟建设连云港-徐州-郑州成品油管道及配套油库。2020年11月19日已和盛虹控股集团有限公司发出联合综办[2020]1号文，成立</w:t>
      </w:r>
      <w:bookmarkStart w:id="3" w:name="_Hlk83886396"/>
      <w:r>
        <w:rPr>
          <w:rFonts w:hint="eastAsia" w:cs="Times New Roman"/>
          <w:bCs/>
          <w:sz w:val="28"/>
          <w:szCs w:val="28"/>
        </w:rPr>
        <w:t>连云港-徐州-郑州成品油管道及配套油库</w:t>
      </w:r>
      <w:bookmarkEnd w:id="3"/>
      <w:r>
        <w:rPr>
          <w:rFonts w:hint="eastAsia" w:cs="Times New Roman"/>
          <w:bCs/>
          <w:sz w:val="28"/>
          <w:szCs w:val="28"/>
        </w:rPr>
        <w:t>筹备组。连云港-徐州-郑州成品油管道周转量近期300万吨/年（其中汽油150万吨/年），远期</w:t>
      </w:r>
      <w:r>
        <w:rPr>
          <w:rFonts w:cs="Times New Roman"/>
          <w:bCs/>
          <w:sz w:val="28"/>
          <w:szCs w:val="28"/>
        </w:rPr>
        <w:t>500</w:t>
      </w:r>
      <w:r>
        <w:rPr>
          <w:rFonts w:hint="eastAsia" w:cs="Times New Roman"/>
          <w:bCs/>
          <w:sz w:val="28"/>
          <w:szCs w:val="28"/>
        </w:rPr>
        <w:t>万吨</w:t>
      </w:r>
      <w:r>
        <w:rPr>
          <w:rFonts w:cs="Times New Roman"/>
          <w:bCs/>
          <w:sz w:val="28"/>
          <w:szCs w:val="28"/>
        </w:rPr>
        <w:t>/</w:t>
      </w:r>
      <w:r>
        <w:rPr>
          <w:rFonts w:hint="eastAsia" w:cs="Times New Roman"/>
          <w:bCs/>
          <w:sz w:val="28"/>
          <w:szCs w:val="28"/>
        </w:rPr>
        <w:t>年（其中汽油</w:t>
      </w:r>
      <w:r>
        <w:rPr>
          <w:rFonts w:cs="Times New Roman"/>
          <w:bCs/>
          <w:sz w:val="28"/>
          <w:szCs w:val="28"/>
        </w:rPr>
        <w:t>300</w:t>
      </w:r>
      <w:r>
        <w:rPr>
          <w:rFonts w:hint="eastAsia" w:cs="Times New Roman"/>
          <w:bCs/>
          <w:sz w:val="28"/>
          <w:szCs w:val="28"/>
        </w:rPr>
        <w:t>万吨</w:t>
      </w:r>
      <w:r>
        <w:rPr>
          <w:rFonts w:cs="Times New Roman"/>
          <w:bCs/>
          <w:sz w:val="28"/>
          <w:szCs w:val="28"/>
        </w:rPr>
        <w:t>/</w:t>
      </w:r>
      <w:r>
        <w:rPr>
          <w:rFonts w:hint="eastAsia" w:cs="Times New Roman"/>
          <w:bCs/>
          <w:sz w:val="28"/>
          <w:szCs w:val="28"/>
        </w:rPr>
        <w:t>年）。连云港首站拟建于炼化仓储罐区成品柴油罐组北侧预留空地，由于炼化仓储罐区无多余用地建设首站配套汽油罐区，所以，须新增用地建设</w:t>
      </w:r>
      <w:r>
        <w:rPr>
          <w:rFonts w:cs="Times New Roman"/>
          <w:bCs/>
          <w:sz w:val="28"/>
          <w:szCs w:val="28"/>
        </w:rPr>
        <w:t>40</w:t>
      </w:r>
      <w:r>
        <w:rPr>
          <w:rFonts w:hint="eastAsia" w:cs="Times New Roman"/>
          <w:bCs/>
          <w:sz w:val="28"/>
          <w:szCs w:val="28"/>
        </w:rPr>
        <w:t>万m</w:t>
      </w:r>
      <w:r>
        <w:rPr>
          <w:rFonts w:cs="Times New Roman"/>
          <w:bCs/>
          <w:sz w:val="28"/>
          <w:szCs w:val="28"/>
          <w:vertAlign w:val="superscript"/>
        </w:rPr>
        <w:t>3</w:t>
      </w:r>
      <w:r>
        <w:rPr>
          <w:rFonts w:hint="eastAsia" w:cs="Times New Roman"/>
          <w:bCs/>
          <w:sz w:val="28"/>
          <w:szCs w:val="28"/>
        </w:rPr>
        <w:t>的配套汽油罐区。该配套汽油罐区具有以下储运功能：</w:t>
      </w:r>
    </w:p>
    <w:p>
      <w:pPr>
        <w:autoSpaceDE w:val="0"/>
        <w:autoSpaceDN w:val="0"/>
        <w:adjustRightInd w:val="0"/>
        <w:ind w:firstLine="560"/>
        <w:rPr>
          <w:rFonts w:cs="Times New Roman"/>
          <w:bCs/>
          <w:sz w:val="28"/>
          <w:szCs w:val="28"/>
        </w:rPr>
      </w:pPr>
      <w:r>
        <w:rPr>
          <w:rFonts w:hint="eastAsia" w:cs="Times New Roman"/>
          <w:bCs/>
          <w:sz w:val="28"/>
          <w:szCs w:val="28"/>
        </w:rPr>
        <w:t>（1）存储92#、95#、98#车用汽油，92#、95#高烯烃车用汽油，92#、95#车用乙醇汽油调合组分油。</w:t>
      </w:r>
    </w:p>
    <w:p>
      <w:pPr>
        <w:autoSpaceDE w:val="0"/>
        <w:autoSpaceDN w:val="0"/>
        <w:adjustRightInd w:val="0"/>
        <w:ind w:firstLine="560"/>
        <w:rPr>
          <w:rFonts w:cs="Times New Roman"/>
          <w:bCs/>
          <w:sz w:val="28"/>
          <w:szCs w:val="28"/>
        </w:rPr>
      </w:pPr>
      <w:r>
        <w:rPr>
          <w:rFonts w:hint="eastAsia" w:cs="Times New Roman"/>
          <w:bCs/>
          <w:sz w:val="28"/>
          <w:szCs w:val="28"/>
        </w:rPr>
        <w:t>（2）92#、95#乙醇车用汽油调合和95#、98#车用汽油调合功能。</w:t>
      </w:r>
    </w:p>
    <w:p>
      <w:pPr>
        <w:autoSpaceDE w:val="0"/>
        <w:autoSpaceDN w:val="0"/>
        <w:adjustRightInd w:val="0"/>
        <w:ind w:firstLine="560"/>
        <w:rPr>
          <w:rFonts w:cs="Times New Roman"/>
          <w:bCs/>
          <w:sz w:val="28"/>
          <w:szCs w:val="28"/>
        </w:rPr>
      </w:pPr>
      <w:r>
        <w:rPr>
          <w:rFonts w:hint="eastAsia" w:cs="Times New Roman"/>
          <w:bCs/>
          <w:sz w:val="28"/>
          <w:szCs w:val="28"/>
        </w:rPr>
        <w:t>（3）10万吨/年MTBE、10万吨/年乙醇、20万吨/年高烯烃汽油的卸车和储存功能。</w:t>
      </w:r>
    </w:p>
    <w:p>
      <w:pPr>
        <w:autoSpaceDE w:val="0"/>
        <w:autoSpaceDN w:val="0"/>
        <w:adjustRightInd w:val="0"/>
        <w:ind w:firstLine="560"/>
        <w:rPr>
          <w:rFonts w:cs="Times New Roman"/>
          <w:bCs/>
          <w:sz w:val="28"/>
          <w:szCs w:val="28"/>
        </w:rPr>
      </w:pPr>
      <w:r>
        <w:rPr>
          <w:rFonts w:hint="eastAsia" w:cs="Times New Roman"/>
          <w:bCs/>
          <w:sz w:val="28"/>
          <w:szCs w:val="28"/>
        </w:rPr>
        <w:t>②混合二甲苯储存</w:t>
      </w:r>
    </w:p>
    <w:p>
      <w:pPr>
        <w:autoSpaceDE w:val="0"/>
        <w:autoSpaceDN w:val="0"/>
        <w:adjustRightInd w:val="0"/>
        <w:ind w:firstLine="560"/>
        <w:rPr>
          <w:rFonts w:cs="Times New Roman"/>
          <w:bCs/>
          <w:sz w:val="28"/>
          <w:szCs w:val="28"/>
        </w:rPr>
      </w:pPr>
      <w:r>
        <w:rPr>
          <w:rFonts w:hint="eastAsia" w:cs="Times New Roman"/>
          <w:bCs/>
          <w:sz w:val="28"/>
          <w:szCs w:val="28"/>
        </w:rPr>
        <w:t>盛虹炼化一体化项目前期拟利旧石化港储荣泰罐区</w:t>
      </w:r>
      <w:bookmarkStart w:id="4" w:name="_Hlk83886447"/>
      <w:r>
        <w:rPr>
          <w:rFonts w:hint="eastAsia" w:cs="Times New Roman"/>
          <w:bCs/>
          <w:sz w:val="28"/>
          <w:szCs w:val="28"/>
        </w:rPr>
        <w:t>10台30000m</w:t>
      </w:r>
      <w:r>
        <w:rPr>
          <w:rFonts w:hint="eastAsia" w:cs="Times New Roman"/>
          <w:bCs/>
          <w:sz w:val="28"/>
          <w:szCs w:val="28"/>
          <w:vertAlign w:val="superscript"/>
        </w:rPr>
        <w:t>3</w:t>
      </w:r>
      <w:r>
        <w:rPr>
          <w:rFonts w:hint="eastAsia" w:cs="Times New Roman"/>
          <w:bCs/>
          <w:sz w:val="28"/>
          <w:szCs w:val="28"/>
        </w:rPr>
        <w:t>内浮顶储罐</w:t>
      </w:r>
      <w:bookmarkEnd w:id="4"/>
      <w:r>
        <w:rPr>
          <w:rFonts w:hint="eastAsia" w:cs="Times New Roman"/>
          <w:bCs/>
          <w:sz w:val="28"/>
          <w:szCs w:val="28"/>
        </w:rPr>
        <w:t>用于储存PX、不合格PX、混合二甲苯及不合格混合二甲苯等四种物料，同时直接管输虹港石化。</w:t>
      </w:r>
    </w:p>
    <w:p>
      <w:pPr>
        <w:autoSpaceDE w:val="0"/>
        <w:autoSpaceDN w:val="0"/>
        <w:adjustRightInd w:val="0"/>
        <w:ind w:firstLine="560"/>
        <w:rPr>
          <w:rFonts w:cs="Times New Roman"/>
          <w:bCs/>
          <w:sz w:val="28"/>
          <w:szCs w:val="28"/>
        </w:rPr>
      </w:pPr>
      <w:r>
        <w:rPr>
          <w:rFonts w:hint="eastAsia" w:cs="Times New Roman"/>
          <w:bCs/>
          <w:sz w:val="28"/>
          <w:szCs w:val="28"/>
        </w:rPr>
        <w:t>随着设计的深入推进，经与虹港石化充分对接，虹港石化认为从PX装置侧线直接管输PTA装置存在质量风险，一旦PX产品出现质量波动，因PTA装置进料缓冲罐较小，不能及时作出调整，将对PTA装置安稳运行造成不利影响，暂不实行PX直供，待炼油装置运行稳定后，再另行讨论。</w:t>
      </w:r>
    </w:p>
    <w:p>
      <w:pPr>
        <w:autoSpaceDE w:val="0"/>
        <w:autoSpaceDN w:val="0"/>
        <w:adjustRightInd w:val="0"/>
        <w:ind w:firstLine="560"/>
        <w:rPr>
          <w:rFonts w:cs="Times New Roman"/>
          <w:bCs/>
          <w:sz w:val="28"/>
          <w:szCs w:val="28"/>
        </w:rPr>
      </w:pPr>
      <w:bookmarkStart w:id="5" w:name="_Hlk87547548"/>
      <w:r>
        <w:rPr>
          <w:rFonts w:hint="eastAsia" w:cs="Times New Roman"/>
          <w:bCs/>
          <w:sz w:val="28"/>
          <w:szCs w:val="28"/>
        </w:rPr>
        <w:t>由于利旧的10台储罐罐容（6台储罐用于储存PX、不合格PX）不能满足</w:t>
      </w:r>
      <w:bookmarkStart w:id="6" w:name="_Hlk83886456"/>
      <w:r>
        <w:rPr>
          <w:rFonts w:hint="eastAsia" w:cs="Times New Roman"/>
          <w:bCs/>
          <w:sz w:val="28"/>
          <w:szCs w:val="28"/>
        </w:rPr>
        <w:t>《石油化工储运系统罐区设计规范》（SH/T3007-2014）要求</w:t>
      </w:r>
      <w:bookmarkEnd w:id="6"/>
      <w:r>
        <w:rPr>
          <w:rFonts w:hint="eastAsia" w:cs="Times New Roman"/>
          <w:bCs/>
          <w:sz w:val="28"/>
          <w:szCs w:val="28"/>
        </w:rPr>
        <w:t>，因此，急需新建5台5000m</w:t>
      </w:r>
      <w:r>
        <w:rPr>
          <w:rFonts w:hint="eastAsia" w:cs="Times New Roman"/>
          <w:bCs/>
          <w:sz w:val="28"/>
          <w:szCs w:val="28"/>
          <w:vertAlign w:val="superscript"/>
        </w:rPr>
        <w:t>3</w:t>
      </w:r>
      <w:r>
        <w:rPr>
          <w:rFonts w:hint="eastAsia" w:cs="Times New Roman"/>
          <w:bCs/>
          <w:sz w:val="28"/>
          <w:szCs w:val="28"/>
        </w:rPr>
        <w:t>储罐用于储存混合二甲苯，以满足虹港石化生产需求。</w:t>
      </w:r>
    </w:p>
    <w:bookmarkEnd w:id="5"/>
    <w:p>
      <w:pPr>
        <w:autoSpaceDE w:val="0"/>
        <w:autoSpaceDN w:val="0"/>
        <w:adjustRightInd w:val="0"/>
        <w:ind w:firstLine="560"/>
        <w:rPr>
          <w:rFonts w:cs="Times New Roman"/>
          <w:bCs/>
          <w:sz w:val="28"/>
          <w:szCs w:val="28"/>
        </w:rPr>
      </w:pPr>
      <w:r>
        <w:rPr>
          <w:rFonts w:hint="eastAsia" w:cs="Times New Roman"/>
          <w:bCs/>
          <w:sz w:val="28"/>
          <w:szCs w:val="28"/>
        </w:rPr>
        <w:t>③抽余油储存</w:t>
      </w:r>
    </w:p>
    <w:p>
      <w:pPr>
        <w:autoSpaceDE w:val="0"/>
        <w:autoSpaceDN w:val="0"/>
        <w:adjustRightInd w:val="0"/>
        <w:ind w:firstLine="560"/>
        <w:rPr>
          <w:rFonts w:cs="Times New Roman"/>
          <w:bCs/>
          <w:sz w:val="28"/>
          <w:szCs w:val="28"/>
        </w:rPr>
      </w:pPr>
      <w:r>
        <w:rPr>
          <w:rFonts w:hint="eastAsia" w:cs="Times New Roman"/>
          <w:bCs/>
          <w:sz w:val="28"/>
          <w:szCs w:val="28"/>
        </w:rPr>
        <w:t>盛虹炼化一体化项目年产抽余油</w:t>
      </w:r>
      <w:r>
        <w:rPr>
          <w:rFonts w:cs="Times New Roman"/>
          <w:bCs/>
          <w:sz w:val="28"/>
          <w:szCs w:val="28"/>
        </w:rPr>
        <w:t>30.66</w:t>
      </w:r>
      <w:r>
        <w:rPr>
          <w:rFonts w:hint="eastAsia" w:cs="Times New Roman"/>
          <w:bCs/>
          <w:sz w:val="28"/>
          <w:szCs w:val="28"/>
        </w:rPr>
        <w:t>万吨，炼化厂区设置了中间储罐，没有考虑抽余油成品储罐的设置，为满足抽余油储存和出库要求，需要设置总罐容为1.5万m</w:t>
      </w:r>
      <w:r>
        <w:rPr>
          <w:rFonts w:hint="eastAsia" w:cs="Times New Roman"/>
          <w:bCs/>
          <w:sz w:val="28"/>
          <w:szCs w:val="28"/>
          <w:vertAlign w:val="superscript"/>
        </w:rPr>
        <w:t>3</w:t>
      </w:r>
      <w:r>
        <w:rPr>
          <w:rFonts w:hint="eastAsia" w:cs="Times New Roman"/>
          <w:bCs/>
          <w:sz w:val="28"/>
          <w:szCs w:val="28"/>
        </w:rPr>
        <w:t>抽余油储罐。</w:t>
      </w:r>
    </w:p>
    <w:p>
      <w:pPr>
        <w:autoSpaceDE w:val="0"/>
        <w:autoSpaceDN w:val="0"/>
        <w:adjustRightInd w:val="0"/>
        <w:ind w:firstLine="560"/>
        <w:rPr>
          <w:rFonts w:cs="Times New Roman"/>
          <w:bCs/>
          <w:sz w:val="28"/>
          <w:szCs w:val="28"/>
        </w:rPr>
      </w:pPr>
      <w:r>
        <w:rPr>
          <w:rFonts w:hint="eastAsia" w:cs="Times New Roman"/>
          <w:bCs/>
          <w:sz w:val="28"/>
          <w:szCs w:val="28"/>
        </w:rPr>
        <w:t>④苯乙烯存储</w:t>
      </w:r>
    </w:p>
    <w:p>
      <w:pPr>
        <w:autoSpaceDE w:val="0"/>
        <w:autoSpaceDN w:val="0"/>
        <w:adjustRightInd w:val="0"/>
        <w:ind w:firstLine="560"/>
        <w:rPr>
          <w:rFonts w:cs="Times New Roman"/>
          <w:bCs/>
          <w:sz w:val="28"/>
          <w:szCs w:val="28"/>
        </w:rPr>
      </w:pPr>
      <w:r>
        <w:rPr>
          <w:rFonts w:hint="eastAsia" w:cs="Times New Roman"/>
          <w:bCs/>
          <w:sz w:val="28"/>
          <w:szCs w:val="28"/>
        </w:rPr>
        <w:t>盛虹炼化（连云港）有限公司拟由其全资子公司江苏虹威化工有限公司建设P</w:t>
      </w:r>
      <w:r>
        <w:rPr>
          <w:rFonts w:cs="Times New Roman"/>
          <w:bCs/>
          <w:sz w:val="28"/>
          <w:szCs w:val="28"/>
        </w:rPr>
        <w:t>OSM</w:t>
      </w:r>
      <w:r>
        <w:rPr>
          <w:rFonts w:hint="eastAsia" w:cs="Times New Roman"/>
          <w:bCs/>
          <w:sz w:val="28"/>
          <w:szCs w:val="28"/>
        </w:rPr>
        <w:t>及多元醇项目，建成后将年产</w:t>
      </w:r>
      <w:r>
        <w:rPr>
          <w:rFonts w:cs="Times New Roman"/>
          <w:bCs/>
          <w:sz w:val="28"/>
          <w:szCs w:val="28"/>
        </w:rPr>
        <w:t>45</w:t>
      </w:r>
      <w:r>
        <w:rPr>
          <w:rFonts w:hint="eastAsia" w:cs="Times New Roman"/>
          <w:bCs/>
          <w:sz w:val="28"/>
          <w:szCs w:val="28"/>
        </w:rPr>
        <w:t>万吨苯乙烯，该项目已于2</w:t>
      </w:r>
      <w:r>
        <w:rPr>
          <w:rFonts w:cs="Times New Roman"/>
          <w:bCs/>
          <w:sz w:val="28"/>
          <w:szCs w:val="28"/>
        </w:rPr>
        <w:t>021</w:t>
      </w:r>
      <w:r>
        <w:rPr>
          <w:rFonts w:hint="eastAsia" w:cs="Times New Roman"/>
          <w:bCs/>
          <w:sz w:val="28"/>
          <w:szCs w:val="28"/>
        </w:rPr>
        <w:t>年4月2</w:t>
      </w:r>
      <w:r>
        <w:rPr>
          <w:rFonts w:cs="Times New Roman"/>
          <w:bCs/>
          <w:sz w:val="28"/>
          <w:szCs w:val="28"/>
        </w:rPr>
        <w:t>1</w:t>
      </w:r>
      <w:r>
        <w:rPr>
          <w:rFonts w:hint="eastAsia" w:cs="Times New Roman"/>
          <w:bCs/>
          <w:sz w:val="28"/>
          <w:szCs w:val="28"/>
        </w:rPr>
        <w:t>日经连云港市发展改革委立项备案（备案证号：连发改备[</w:t>
      </w:r>
      <w:r>
        <w:rPr>
          <w:rFonts w:cs="Times New Roman"/>
          <w:bCs/>
          <w:sz w:val="28"/>
          <w:szCs w:val="28"/>
        </w:rPr>
        <w:t>2021]18</w:t>
      </w:r>
      <w:r>
        <w:rPr>
          <w:rFonts w:hint="eastAsia" w:cs="Times New Roman"/>
          <w:bCs/>
          <w:sz w:val="28"/>
          <w:szCs w:val="28"/>
        </w:rPr>
        <w:t>号）。</w:t>
      </w:r>
    </w:p>
    <w:p>
      <w:pPr>
        <w:autoSpaceDE w:val="0"/>
        <w:autoSpaceDN w:val="0"/>
        <w:adjustRightInd w:val="0"/>
        <w:ind w:firstLine="560"/>
        <w:rPr>
          <w:rFonts w:cs="Times New Roman"/>
          <w:bCs/>
          <w:sz w:val="28"/>
          <w:szCs w:val="28"/>
        </w:rPr>
      </w:pPr>
      <w:r>
        <w:rPr>
          <w:rFonts w:hint="eastAsia" w:cs="Times New Roman"/>
          <w:bCs/>
          <w:sz w:val="28"/>
          <w:szCs w:val="28"/>
        </w:rPr>
        <w:t>连云港弘达新材料科技有限公司拟建设年产31万吨聚苯乙烯和36万吨可发性聚苯乙烯项目，该项目已于2020年11月12日经国家东中西区域合作示范区经济发展局批准备案（备案证号：示范区经备[2020]104号）。该项目每年需要</w:t>
      </w:r>
      <w:r>
        <w:rPr>
          <w:rFonts w:cs="Times New Roman"/>
          <w:bCs/>
          <w:sz w:val="28"/>
          <w:szCs w:val="28"/>
        </w:rPr>
        <w:t>62</w:t>
      </w:r>
      <w:r>
        <w:rPr>
          <w:rFonts w:hint="eastAsia" w:cs="Times New Roman"/>
          <w:bCs/>
          <w:sz w:val="28"/>
          <w:szCs w:val="28"/>
        </w:rPr>
        <w:t>万吨苯乙烯原料，原料来自盛虹炼化（连云港）有限公司和在国内外市场采购。</w:t>
      </w:r>
    </w:p>
    <w:p>
      <w:pPr>
        <w:autoSpaceDE w:val="0"/>
        <w:autoSpaceDN w:val="0"/>
        <w:adjustRightInd w:val="0"/>
        <w:ind w:firstLine="560"/>
        <w:rPr>
          <w:rFonts w:cs="Times New Roman"/>
          <w:bCs/>
          <w:sz w:val="28"/>
          <w:szCs w:val="28"/>
        </w:rPr>
      </w:pPr>
      <w:r>
        <w:rPr>
          <w:rFonts w:hint="eastAsia" w:cs="Times New Roman"/>
          <w:bCs/>
          <w:sz w:val="28"/>
          <w:szCs w:val="28"/>
        </w:rPr>
        <w:t>因此，</w:t>
      </w:r>
      <w:bookmarkStart w:id="7" w:name="_Hlk83886540"/>
      <w:r>
        <w:rPr>
          <w:rFonts w:hint="eastAsia" w:cs="Times New Roman"/>
          <w:bCs/>
          <w:sz w:val="28"/>
          <w:szCs w:val="28"/>
        </w:rPr>
        <w:t>为同时满足江苏虹威化工有限公司年产</w:t>
      </w:r>
      <w:r>
        <w:rPr>
          <w:rFonts w:cs="Times New Roman"/>
          <w:bCs/>
          <w:sz w:val="28"/>
          <w:szCs w:val="28"/>
        </w:rPr>
        <w:t>45</w:t>
      </w:r>
      <w:r>
        <w:rPr>
          <w:rFonts w:hint="eastAsia" w:cs="Times New Roman"/>
          <w:bCs/>
          <w:sz w:val="28"/>
          <w:szCs w:val="28"/>
        </w:rPr>
        <w:t>万吨苯乙烯装置和连云港弘达新材料科技有限公司</w:t>
      </w:r>
      <w:r>
        <w:rPr>
          <w:rFonts w:cs="Times New Roman"/>
          <w:bCs/>
          <w:sz w:val="28"/>
          <w:szCs w:val="28"/>
        </w:rPr>
        <w:t>PS</w:t>
      </w:r>
      <w:r>
        <w:rPr>
          <w:rFonts w:hint="eastAsia" w:cs="Times New Roman"/>
          <w:bCs/>
          <w:sz w:val="28"/>
          <w:szCs w:val="28"/>
        </w:rPr>
        <w:t>、</w:t>
      </w:r>
      <w:r>
        <w:rPr>
          <w:rFonts w:cs="Times New Roman"/>
          <w:bCs/>
          <w:sz w:val="28"/>
          <w:szCs w:val="28"/>
        </w:rPr>
        <w:t>EPS</w:t>
      </w:r>
      <w:r>
        <w:rPr>
          <w:rFonts w:hint="eastAsia" w:cs="Times New Roman"/>
          <w:bCs/>
          <w:sz w:val="28"/>
          <w:szCs w:val="28"/>
        </w:rPr>
        <w:t>装置苯乙烯储存要求</w:t>
      </w:r>
      <w:bookmarkEnd w:id="7"/>
      <w:r>
        <w:rPr>
          <w:rFonts w:hint="eastAsia" w:cs="Times New Roman"/>
          <w:bCs/>
          <w:sz w:val="28"/>
          <w:szCs w:val="28"/>
        </w:rPr>
        <w:t>，需要建设总罐容</w:t>
      </w:r>
      <w:bookmarkStart w:id="8" w:name="_Hlk83886534"/>
      <w:r>
        <w:rPr>
          <w:rFonts w:cs="Times New Roman"/>
          <w:bCs/>
          <w:sz w:val="28"/>
          <w:szCs w:val="28"/>
        </w:rPr>
        <w:t>8</w:t>
      </w:r>
      <w:r>
        <w:rPr>
          <w:rFonts w:hint="eastAsia" w:cs="Times New Roman"/>
          <w:bCs/>
          <w:sz w:val="28"/>
          <w:szCs w:val="28"/>
        </w:rPr>
        <w:t>万</w:t>
      </w:r>
      <w:r>
        <w:rPr>
          <w:rFonts w:cs="Times New Roman"/>
          <w:bCs/>
          <w:sz w:val="28"/>
          <w:szCs w:val="28"/>
        </w:rPr>
        <w:t>m</w:t>
      </w:r>
      <w:r>
        <w:rPr>
          <w:rFonts w:cs="Times New Roman"/>
          <w:bCs/>
          <w:sz w:val="28"/>
          <w:szCs w:val="28"/>
          <w:vertAlign w:val="superscript"/>
        </w:rPr>
        <w:t>3</w:t>
      </w:r>
      <w:r>
        <w:rPr>
          <w:rFonts w:cs="Times New Roman"/>
          <w:bCs/>
          <w:sz w:val="28"/>
          <w:szCs w:val="28"/>
        </w:rPr>
        <w:t xml:space="preserve"> </w:t>
      </w:r>
      <w:r>
        <w:rPr>
          <w:rFonts w:hint="eastAsia" w:cs="Times New Roman"/>
          <w:bCs/>
          <w:sz w:val="28"/>
          <w:szCs w:val="28"/>
        </w:rPr>
        <w:t>的苯乙烯储罐</w:t>
      </w:r>
      <w:bookmarkEnd w:id="8"/>
      <w:r>
        <w:rPr>
          <w:rFonts w:hint="eastAsia" w:cs="Times New Roman"/>
          <w:bCs/>
          <w:sz w:val="28"/>
          <w:szCs w:val="28"/>
        </w:rPr>
        <w:t>。</w:t>
      </w:r>
    </w:p>
    <w:p>
      <w:pPr>
        <w:autoSpaceDE w:val="0"/>
        <w:autoSpaceDN w:val="0"/>
        <w:adjustRightInd w:val="0"/>
        <w:ind w:firstLine="560"/>
        <w:rPr>
          <w:rFonts w:cs="Times New Roman"/>
          <w:bCs/>
          <w:sz w:val="28"/>
          <w:szCs w:val="28"/>
        </w:rPr>
      </w:pPr>
      <w:r>
        <w:rPr>
          <w:rFonts w:hint="eastAsia" w:cs="Times New Roman"/>
          <w:bCs/>
          <w:sz w:val="28"/>
          <w:szCs w:val="28"/>
        </w:rPr>
        <w:t>⑤甲醇存储</w:t>
      </w:r>
    </w:p>
    <w:p>
      <w:pPr>
        <w:autoSpaceDE w:val="0"/>
        <w:autoSpaceDN w:val="0"/>
        <w:adjustRightInd w:val="0"/>
        <w:ind w:firstLine="560"/>
        <w:rPr>
          <w:rFonts w:cs="Times New Roman"/>
          <w:bCs/>
          <w:sz w:val="28"/>
          <w:szCs w:val="28"/>
        </w:rPr>
      </w:pPr>
      <w:r>
        <w:rPr>
          <w:rFonts w:hint="eastAsia" w:cs="Times New Roman"/>
          <w:bCs/>
          <w:sz w:val="28"/>
          <w:szCs w:val="28"/>
        </w:rPr>
        <w:t>斯尔邦石化项目每年从在铁路专用线工程卸入甲醇</w:t>
      </w:r>
      <w:r>
        <w:rPr>
          <w:rFonts w:cs="Times New Roman"/>
          <w:bCs/>
          <w:sz w:val="28"/>
          <w:szCs w:val="28"/>
        </w:rPr>
        <w:t>48</w:t>
      </w:r>
      <w:r>
        <w:rPr>
          <w:rFonts w:hint="eastAsia" w:cs="Times New Roman"/>
          <w:bCs/>
          <w:sz w:val="28"/>
          <w:szCs w:val="28"/>
        </w:rPr>
        <w:t>万吨，缺少甲醇接收罐，需要考虑甲醇储罐，实现物料的转输。</w:t>
      </w:r>
    </w:p>
    <w:p>
      <w:pPr>
        <w:autoSpaceDE w:val="0"/>
        <w:autoSpaceDN w:val="0"/>
        <w:adjustRightInd w:val="0"/>
        <w:ind w:firstLine="560"/>
        <w:rPr>
          <w:rFonts w:cs="Times New Roman"/>
          <w:bCs/>
          <w:sz w:val="28"/>
          <w:szCs w:val="28"/>
        </w:rPr>
      </w:pPr>
      <w:r>
        <w:rPr>
          <w:rFonts w:hint="eastAsia" w:cs="Times New Roman"/>
          <w:bCs/>
          <w:sz w:val="28"/>
          <w:szCs w:val="28"/>
        </w:rPr>
        <w:t>综上，盛虹炼化（连云港）有限公司拟投资109813.72万元于国家东中西区域合作示范区内，徐圩石化产业园港前大道东建设盛虹炼化一体化仓储罐区（港前大道东地块）项目。本项目将新建储罐27座，总罐容52万m</w:t>
      </w:r>
      <w:r>
        <w:rPr>
          <w:rFonts w:hint="eastAsia" w:cs="Times New Roman"/>
          <w:bCs/>
          <w:sz w:val="28"/>
          <w:szCs w:val="28"/>
          <w:vertAlign w:val="superscript"/>
        </w:rPr>
        <w:t>3</w:t>
      </w:r>
      <w:r>
        <w:rPr>
          <w:rFonts w:hint="eastAsia" w:cs="Times New Roman"/>
          <w:bCs/>
          <w:sz w:val="28"/>
          <w:szCs w:val="28"/>
        </w:rPr>
        <w:t>，主要包括30万m</w:t>
      </w:r>
      <w:r>
        <w:rPr>
          <w:rFonts w:hint="eastAsia" w:cs="Times New Roman"/>
          <w:bCs/>
          <w:sz w:val="28"/>
          <w:szCs w:val="28"/>
          <w:vertAlign w:val="superscript"/>
        </w:rPr>
        <w:t>3</w:t>
      </w:r>
      <w:r>
        <w:rPr>
          <w:rFonts w:hint="eastAsia" w:cs="Times New Roman"/>
          <w:bCs/>
          <w:sz w:val="28"/>
          <w:szCs w:val="28"/>
        </w:rPr>
        <w:t>的汽油罐组、10万m</w:t>
      </w:r>
      <w:r>
        <w:rPr>
          <w:rFonts w:hint="eastAsia" w:cs="Times New Roman"/>
          <w:bCs/>
          <w:sz w:val="28"/>
          <w:szCs w:val="28"/>
          <w:vertAlign w:val="superscript"/>
        </w:rPr>
        <w:t>3</w:t>
      </w:r>
      <w:r>
        <w:rPr>
          <w:rFonts w:hint="eastAsia" w:cs="Times New Roman"/>
          <w:bCs/>
          <w:sz w:val="28"/>
          <w:szCs w:val="28"/>
        </w:rPr>
        <w:t>的成品罐组、4万m</w:t>
      </w:r>
      <w:r>
        <w:rPr>
          <w:rFonts w:hint="eastAsia" w:cs="Times New Roman"/>
          <w:bCs/>
          <w:sz w:val="28"/>
          <w:szCs w:val="28"/>
          <w:vertAlign w:val="superscript"/>
        </w:rPr>
        <w:t>3</w:t>
      </w:r>
      <w:r>
        <w:rPr>
          <w:rFonts w:hint="eastAsia" w:cs="Times New Roman"/>
          <w:bCs/>
          <w:sz w:val="28"/>
          <w:szCs w:val="28"/>
        </w:rPr>
        <w:t>的混合二甲苯和抽余油罐组、8万m</w:t>
      </w:r>
      <w:r>
        <w:rPr>
          <w:rFonts w:hint="eastAsia" w:cs="Times New Roman"/>
          <w:bCs/>
          <w:sz w:val="28"/>
          <w:szCs w:val="28"/>
          <w:vertAlign w:val="superscript"/>
        </w:rPr>
        <w:t>3</w:t>
      </w:r>
      <w:r>
        <w:rPr>
          <w:rFonts w:hint="eastAsia" w:cs="Times New Roman"/>
          <w:bCs/>
          <w:sz w:val="28"/>
          <w:szCs w:val="28"/>
        </w:rPr>
        <w:t>的苯乙烯罐组等4个罐组，管廊系统包括本项目区域内及本项目界区（东片区）至盛虹炼化一体化仓储罐区（西片区）连接管廊（场外管线约1</w:t>
      </w:r>
      <w:r>
        <w:rPr>
          <w:rFonts w:cs="Times New Roman"/>
          <w:bCs/>
          <w:sz w:val="28"/>
          <w:szCs w:val="28"/>
        </w:rPr>
        <w:t>50</w:t>
      </w:r>
      <w:r>
        <w:rPr>
          <w:rFonts w:hint="eastAsia" w:cs="Times New Roman"/>
          <w:bCs/>
          <w:sz w:val="28"/>
          <w:szCs w:val="28"/>
        </w:rPr>
        <w:t>m），同时新建苯乙烯、混合二甲苯、抽余油装车鹤管，同步实施油气回收、尾气处理、污水收集、消防泵房、泡沫站、机柜间及消防监控室和变电所等配套工程。</w:t>
      </w:r>
    </w:p>
    <w:p>
      <w:pPr>
        <w:autoSpaceDE w:val="0"/>
        <w:autoSpaceDN w:val="0"/>
        <w:adjustRightInd w:val="0"/>
        <w:ind w:firstLine="560"/>
        <w:rPr>
          <w:rFonts w:cs="Times New Roman"/>
          <w:bCs/>
          <w:sz w:val="28"/>
          <w:szCs w:val="28"/>
        </w:rPr>
      </w:pPr>
      <w:r>
        <w:rPr>
          <w:rFonts w:hint="eastAsia" w:cs="Times New Roman"/>
          <w:bCs/>
          <w:sz w:val="28"/>
          <w:szCs w:val="28"/>
        </w:rPr>
        <w:t>本项目建成后将为盛虹炼化（连云港）有限公司提供液体炼油和化工产品或原料的仓储，同时也承担徐圩新区石化产业园区的液体炼油和化工产品或原料仓储服务。</w:t>
      </w:r>
    </w:p>
    <w:p>
      <w:pPr>
        <w:autoSpaceDE w:val="0"/>
        <w:autoSpaceDN w:val="0"/>
        <w:adjustRightInd w:val="0"/>
        <w:ind w:firstLine="560"/>
        <w:rPr>
          <w:rFonts w:cs="Times New Roman"/>
          <w:sz w:val="28"/>
          <w:szCs w:val="28"/>
        </w:rPr>
      </w:pPr>
      <w:r>
        <w:rPr>
          <w:rFonts w:cs="Times New Roman"/>
          <w:sz w:val="28"/>
          <w:szCs w:val="28"/>
        </w:rPr>
        <w:t>为了加强建设项目各方与可能受项目影响的公众之间的联系和交流，使公众比较全面地了解建设项目及其污染排放状况，减轻对项目影响的担忧，通过公众参与的形式，把公众对建设项目的多种意见和建议体现在公众参与的结论中，使项目规划设计更加完善和合理，以提高建设项目的环境和经济效益。</w:t>
      </w:r>
    </w:p>
    <w:p>
      <w:pPr>
        <w:autoSpaceDE w:val="0"/>
        <w:autoSpaceDN w:val="0"/>
        <w:adjustRightInd w:val="0"/>
        <w:ind w:firstLine="560"/>
        <w:rPr>
          <w:rFonts w:cs="Times New Roman"/>
          <w:color w:val="FF0000"/>
          <w:sz w:val="28"/>
          <w:szCs w:val="28"/>
        </w:rPr>
      </w:pPr>
      <w:r>
        <w:rPr>
          <w:rFonts w:cs="Times New Roman"/>
          <w:sz w:val="28"/>
          <w:szCs w:val="28"/>
        </w:rPr>
        <w:t>公众通过参与来维护其环境权益、履行其保护环境的责任和义务，对形成良好的保护环境的社会风气和实现预定的环境目标有着保证作用。公众参与的结论体现在报告书中，环保部门及行业主管部门在报告书审批时应充分考虑公众的意见，并及时反馈给建设单位，作为监督和验收的内容之一。通过公众参与，可使环境影响评价的对策更具合理性、实用性和可操作性。</w:t>
      </w:r>
    </w:p>
    <w:p>
      <w:pPr>
        <w:autoSpaceDE w:val="0"/>
        <w:autoSpaceDN w:val="0"/>
        <w:adjustRightInd w:val="0"/>
        <w:ind w:firstLine="560"/>
        <w:jc w:val="left"/>
        <w:rPr>
          <w:rFonts w:cs="Times New Roman"/>
          <w:sz w:val="28"/>
          <w:szCs w:val="28"/>
        </w:rPr>
        <w:sectPr>
          <w:footerReference r:id="rId13" w:type="first"/>
          <w:footerReference r:id="rId12" w:type="default"/>
          <w:pgSz w:w="11906" w:h="16838"/>
          <w:pgMar w:top="1440" w:right="1800" w:bottom="1440" w:left="1800" w:header="851" w:footer="992" w:gutter="0"/>
          <w:pgNumType w:start="1"/>
          <w:cols w:space="425" w:num="1"/>
          <w:titlePg/>
          <w:docGrid w:type="lines" w:linePitch="326" w:charSpace="0"/>
        </w:sectPr>
      </w:pPr>
      <w:r>
        <w:rPr>
          <w:rFonts w:hint="eastAsia" w:cs="Times New Roman"/>
          <w:sz w:val="28"/>
          <w:szCs w:val="28"/>
        </w:rPr>
        <w:t>盛虹炼化（连云港）有限公司</w:t>
      </w:r>
      <w:r>
        <w:rPr>
          <w:rFonts w:cs="Times New Roman"/>
          <w:sz w:val="28"/>
          <w:szCs w:val="28"/>
        </w:rPr>
        <w:t>作为实施主体，负责项目的公众参与工作。本次公众参与主要形式包括：网络公示、张贴公告及报纸公开。</w:t>
      </w:r>
    </w:p>
    <w:p>
      <w:pPr>
        <w:pStyle w:val="2"/>
        <w:spacing w:before="156" w:after="156"/>
        <w:rPr>
          <w:rFonts w:cs="Times New Roman"/>
          <w:sz w:val="36"/>
          <w:szCs w:val="36"/>
        </w:rPr>
      </w:pPr>
      <w:bookmarkStart w:id="9" w:name="_Toc76542518"/>
      <w:r>
        <w:rPr>
          <w:rFonts w:cs="Times New Roman"/>
          <w:sz w:val="36"/>
          <w:szCs w:val="36"/>
        </w:rPr>
        <w:t xml:space="preserve">2 </w:t>
      </w:r>
      <w:r>
        <w:rPr>
          <w:rFonts w:cs="Times New Roman"/>
          <w:kern w:val="2"/>
          <w:sz w:val="36"/>
          <w:szCs w:val="36"/>
        </w:rPr>
        <w:t>首次环境影响评价信息公开情况</w:t>
      </w:r>
      <w:bookmarkEnd w:id="9"/>
    </w:p>
    <w:p>
      <w:pPr>
        <w:pStyle w:val="3"/>
        <w:spacing w:before="156" w:after="156"/>
        <w:rPr>
          <w:rFonts w:cs="Times New Roman"/>
          <w:b w:val="0"/>
          <w:sz w:val="28"/>
          <w:szCs w:val="28"/>
        </w:rPr>
      </w:pPr>
      <w:bookmarkStart w:id="10" w:name="_Toc76542519"/>
      <w:r>
        <w:rPr>
          <w:rFonts w:cs="Times New Roman"/>
          <w:sz w:val="28"/>
          <w:szCs w:val="28"/>
        </w:rPr>
        <w:t>2.1 公开内容及日期</w:t>
      </w:r>
      <w:bookmarkEnd w:id="10"/>
    </w:p>
    <w:p>
      <w:pPr>
        <w:adjustRightInd w:val="0"/>
        <w:snapToGrid w:val="0"/>
        <w:ind w:firstLine="560"/>
        <w:jc w:val="left"/>
        <w:rPr>
          <w:rFonts w:cs="Times New Roman"/>
          <w:sz w:val="28"/>
          <w:szCs w:val="28"/>
        </w:rPr>
      </w:pPr>
      <w:r>
        <w:rPr>
          <w:rFonts w:cs="Times New Roman"/>
          <w:sz w:val="28"/>
          <w:szCs w:val="28"/>
        </w:rPr>
        <w:t>本次项目建设单位——</w:t>
      </w:r>
      <w:r>
        <w:rPr>
          <w:rFonts w:hint="eastAsia" w:cs="Times New Roman"/>
          <w:sz w:val="28"/>
          <w:szCs w:val="28"/>
        </w:rPr>
        <w:t>盛虹炼化（连云港）有限公司</w:t>
      </w:r>
      <w:r>
        <w:rPr>
          <w:rFonts w:cs="Times New Roman"/>
          <w:sz w:val="28"/>
          <w:szCs w:val="28"/>
        </w:rPr>
        <w:t>，于2021年1月委托江苏环保产业技术研究院股份公司开展本次项目的环境影响评价工作。依据《环境影响评价公众参与办法》（以下简称《办法》）第九条，</w:t>
      </w:r>
      <w:r>
        <w:rPr>
          <w:rFonts w:hint="eastAsia" w:cs="Times New Roman"/>
          <w:bCs/>
          <w:sz w:val="28"/>
          <w:szCs w:val="28"/>
        </w:rPr>
        <w:t>盛虹炼化（连云港）有限公司</w:t>
      </w:r>
      <w:r>
        <w:rPr>
          <w:rFonts w:cs="Times New Roman"/>
          <w:sz w:val="28"/>
          <w:szCs w:val="28"/>
        </w:rPr>
        <w:t>于2021年1月19日在</w:t>
      </w:r>
      <w:r>
        <w:rPr>
          <w:rFonts w:hint="eastAsia" w:cs="Times New Roman"/>
          <w:sz w:val="28"/>
          <w:szCs w:val="28"/>
        </w:rPr>
        <w:t>盛虹石化</w:t>
      </w:r>
      <w:r>
        <w:rPr>
          <w:rFonts w:cs="Times New Roman"/>
          <w:sz w:val="28"/>
          <w:szCs w:val="28"/>
        </w:rPr>
        <w:t>网站（http://www.shenghongpec.com/gb2312/hbln/hpgs/384.html）实施了首次环境影响评价信息公开。</w:t>
      </w:r>
      <w:r>
        <w:rPr>
          <w:rFonts w:hint="eastAsia" w:cs="Times New Roman"/>
          <w:sz w:val="28"/>
          <w:szCs w:val="28"/>
        </w:rPr>
        <w:t>本</w:t>
      </w:r>
      <w:r>
        <w:rPr>
          <w:rFonts w:cs="Times New Roman"/>
          <w:sz w:val="28"/>
          <w:szCs w:val="28"/>
        </w:rPr>
        <w:t>次网络公示公开的主要内容包括：建设项目名称、选址、建设内容等基本情况；建设单位名称和联系方式；环境影响报告书编制单位的名称；公众意见表的网络链接；提交公众意见表的方式和途径。</w:t>
      </w:r>
    </w:p>
    <w:p>
      <w:pPr>
        <w:pStyle w:val="3"/>
        <w:spacing w:before="156" w:after="156"/>
        <w:rPr>
          <w:rFonts w:cs="Times New Roman"/>
          <w:b w:val="0"/>
          <w:sz w:val="28"/>
          <w:szCs w:val="28"/>
        </w:rPr>
      </w:pPr>
      <w:bookmarkStart w:id="11" w:name="_Toc76542520"/>
      <w:r>
        <w:rPr>
          <w:rFonts w:cs="Times New Roman"/>
          <w:sz w:val="28"/>
          <w:szCs w:val="28"/>
        </w:rPr>
        <w:t>2.2 公开方式</w:t>
      </w:r>
      <w:bookmarkEnd w:id="11"/>
    </w:p>
    <w:p>
      <w:pPr>
        <w:adjustRightInd w:val="0"/>
        <w:snapToGrid w:val="0"/>
        <w:ind w:firstLine="560"/>
        <w:rPr>
          <w:rFonts w:cs="Times New Roman"/>
          <w:sz w:val="28"/>
          <w:szCs w:val="28"/>
        </w:rPr>
      </w:pPr>
      <w:r>
        <w:rPr>
          <w:rFonts w:cs="Times New Roman"/>
          <w:sz w:val="28"/>
          <w:szCs w:val="28"/>
        </w:rPr>
        <w:t>依据《办法》第九条，本项目首次环境影响评价信息公开采用网络公示的方式，通过盛虹石化网站实施了本次公示，实施进度情况见表2.2-1，公示截图见图2.2-1。</w:t>
      </w:r>
    </w:p>
    <w:p>
      <w:pPr>
        <w:adjustRightInd w:val="0"/>
        <w:snapToGrid w:val="0"/>
        <w:spacing w:line="348" w:lineRule="auto"/>
        <w:ind w:firstLine="0" w:firstLineChars="0"/>
        <w:jc w:val="center"/>
        <w:rPr>
          <w:rFonts w:cs="Times New Roman"/>
          <w:b/>
          <w:sz w:val="28"/>
          <w:szCs w:val="28"/>
        </w:rPr>
      </w:pPr>
      <w:r>
        <w:rPr>
          <w:rFonts w:cs="Times New Roman"/>
          <w:b/>
          <w:kern w:val="0"/>
          <w:sz w:val="28"/>
          <w:szCs w:val="28"/>
        </w:rPr>
        <w:t xml:space="preserve">表2.2-1 </w:t>
      </w:r>
      <w:r>
        <w:rPr>
          <w:rFonts w:cs="Times New Roman"/>
          <w:b/>
          <w:sz w:val="28"/>
          <w:szCs w:val="28"/>
        </w:rPr>
        <w:t xml:space="preserve"> 公众参与各环节的实施进度</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108" w:type="dxa"/>
          <w:bottom w:w="57" w:type="dxa"/>
          <w:right w:w="108" w:type="dxa"/>
        </w:tblCellMar>
      </w:tblPr>
      <w:tblGrid>
        <w:gridCol w:w="462"/>
        <w:gridCol w:w="6664"/>
        <w:gridCol w:w="13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271" w:type="pct"/>
            <w:vAlign w:val="center"/>
          </w:tcPr>
          <w:p>
            <w:pPr>
              <w:adjustRightInd w:val="0"/>
              <w:snapToGrid w:val="0"/>
              <w:spacing w:line="348" w:lineRule="auto"/>
              <w:ind w:firstLine="0" w:firstLineChars="0"/>
              <w:jc w:val="center"/>
              <w:rPr>
                <w:rFonts w:cs="Times New Roman"/>
                <w:b/>
                <w:kern w:val="0"/>
                <w:szCs w:val="24"/>
              </w:rPr>
            </w:pPr>
            <w:r>
              <w:rPr>
                <w:rFonts w:cs="Times New Roman"/>
                <w:b/>
                <w:kern w:val="0"/>
                <w:szCs w:val="24"/>
              </w:rPr>
              <w:t>序号</w:t>
            </w:r>
          </w:p>
        </w:tc>
        <w:tc>
          <w:tcPr>
            <w:tcW w:w="3910" w:type="pct"/>
            <w:vAlign w:val="center"/>
          </w:tcPr>
          <w:p>
            <w:pPr>
              <w:adjustRightInd w:val="0"/>
              <w:snapToGrid w:val="0"/>
              <w:spacing w:line="348" w:lineRule="auto"/>
              <w:ind w:firstLine="0" w:firstLineChars="0"/>
              <w:jc w:val="center"/>
              <w:rPr>
                <w:rFonts w:cs="Times New Roman"/>
                <w:b/>
                <w:kern w:val="0"/>
                <w:szCs w:val="24"/>
              </w:rPr>
            </w:pPr>
            <w:r>
              <w:rPr>
                <w:rFonts w:cs="Times New Roman"/>
                <w:b/>
                <w:kern w:val="0"/>
                <w:szCs w:val="24"/>
              </w:rPr>
              <w:t>公开方式</w:t>
            </w:r>
          </w:p>
        </w:tc>
        <w:tc>
          <w:tcPr>
            <w:tcW w:w="819" w:type="pct"/>
            <w:vAlign w:val="center"/>
          </w:tcPr>
          <w:p>
            <w:pPr>
              <w:adjustRightInd w:val="0"/>
              <w:snapToGrid w:val="0"/>
              <w:spacing w:line="348" w:lineRule="auto"/>
              <w:ind w:firstLine="0" w:firstLineChars="0"/>
              <w:jc w:val="center"/>
              <w:rPr>
                <w:rFonts w:cs="Times New Roman"/>
                <w:b/>
                <w:kern w:val="0"/>
                <w:szCs w:val="24"/>
              </w:rPr>
            </w:pPr>
            <w:r>
              <w:rPr>
                <w:rFonts w:cs="Times New Roman"/>
                <w:b/>
                <w:kern w:val="0"/>
                <w:szCs w:val="24"/>
              </w:rPr>
              <w:t>实施时间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c>
          <w:tcPr>
            <w:tcW w:w="271" w:type="pct"/>
            <w:vAlign w:val="center"/>
          </w:tcPr>
          <w:p>
            <w:pPr>
              <w:adjustRightInd w:val="0"/>
              <w:snapToGrid w:val="0"/>
              <w:spacing w:line="348" w:lineRule="auto"/>
              <w:ind w:firstLine="0" w:firstLineChars="0"/>
              <w:jc w:val="center"/>
              <w:rPr>
                <w:rFonts w:cs="Times New Roman"/>
                <w:kern w:val="0"/>
                <w:szCs w:val="24"/>
              </w:rPr>
            </w:pPr>
            <w:r>
              <w:rPr>
                <w:rFonts w:cs="Times New Roman"/>
                <w:kern w:val="0"/>
                <w:szCs w:val="24"/>
              </w:rPr>
              <w:t>1</w:t>
            </w:r>
          </w:p>
        </w:tc>
        <w:tc>
          <w:tcPr>
            <w:tcW w:w="3910" w:type="pct"/>
            <w:vAlign w:val="center"/>
          </w:tcPr>
          <w:p>
            <w:pPr>
              <w:adjustRightInd w:val="0"/>
              <w:snapToGrid w:val="0"/>
              <w:spacing w:line="348" w:lineRule="auto"/>
              <w:ind w:firstLine="0" w:firstLineChars="0"/>
              <w:jc w:val="center"/>
              <w:rPr>
                <w:rFonts w:cs="Times New Roman"/>
                <w:kern w:val="0"/>
                <w:szCs w:val="24"/>
              </w:rPr>
            </w:pPr>
            <w:r>
              <w:rPr>
                <w:rFonts w:cs="Times New Roman"/>
                <w:kern w:val="0"/>
                <w:szCs w:val="24"/>
              </w:rPr>
              <w:t>通过盛虹石化网站进行首次环境影响评价信息公开，</w:t>
            </w:r>
          </w:p>
          <w:p>
            <w:pPr>
              <w:adjustRightInd w:val="0"/>
              <w:snapToGrid w:val="0"/>
              <w:spacing w:line="348" w:lineRule="auto"/>
              <w:ind w:firstLine="0" w:firstLineChars="0"/>
              <w:jc w:val="center"/>
              <w:rPr>
                <w:rFonts w:cs="Times New Roman"/>
                <w:kern w:val="0"/>
                <w:szCs w:val="24"/>
                <w:u w:val="single"/>
              </w:rPr>
            </w:pPr>
            <w:r>
              <w:rPr>
                <w:rFonts w:cs="Times New Roman"/>
                <w:kern w:val="0"/>
                <w:u w:val="single"/>
              </w:rPr>
              <w:t>http://www.shenghongpec.com/gb2312/hbln/hpgs/384.html</w:t>
            </w:r>
          </w:p>
        </w:tc>
        <w:tc>
          <w:tcPr>
            <w:tcW w:w="819" w:type="pct"/>
            <w:vAlign w:val="center"/>
          </w:tcPr>
          <w:p>
            <w:pPr>
              <w:adjustRightInd w:val="0"/>
              <w:snapToGrid w:val="0"/>
              <w:spacing w:line="348" w:lineRule="auto"/>
              <w:ind w:firstLine="0" w:firstLineChars="0"/>
              <w:jc w:val="center"/>
              <w:rPr>
                <w:rFonts w:cs="Times New Roman"/>
                <w:kern w:val="0"/>
                <w:szCs w:val="24"/>
              </w:rPr>
            </w:pPr>
            <w:r>
              <w:rPr>
                <w:rFonts w:cs="Times New Roman"/>
                <w:kern w:val="0"/>
                <w:szCs w:val="24"/>
              </w:rPr>
              <w:t>2021年1月19日</w:t>
            </w:r>
          </w:p>
        </w:tc>
      </w:tr>
    </w:tbl>
    <w:p>
      <w:pPr>
        <w:adjustRightInd w:val="0"/>
        <w:snapToGrid w:val="0"/>
        <w:spacing w:line="348" w:lineRule="auto"/>
        <w:ind w:firstLine="0" w:firstLineChars="0"/>
        <w:jc w:val="center"/>
        <w:rPr>
          <w:rFonts w:cs="Times New Roman"/>
          <w:color w:val="FF0000"/>
          <w:sz w:val="28"/>
          <w:szCs w:val="28"/>
        </w:rPr>
      </w:pPr>
    </w:p>
    <w:p>
      <w:pPr>
        <w:spacing w:line="240" w:lineRule="auto"/>
        <w:ind w:firstLine="0" w:firstLineChars="0"/>
        <w:rPr>
          <w:rFonts w:cs="Times New Roman"/>
          <w:color w:val="FF0000"/>
        </w:rPr>
      </w:pPr>
    </w:p>
    <w:p>
      <w:pPr>
        <w:adjustRightInd w:val="0"/>
        <w:snapToGrid w:val="0"/>
        <w:spacing w:line="348" w:lineRule="auto"/>
        <w:ind w:firstLine="0" w:firstLineChars="0"/>
        <w:jc w:val="center"/>
        <w:rPr>
          <w:rFonts w:cs="Times New Roman"/>
          <w:color w:val="FF0000"/>
          <w:sz w:val="28"/>
          <w:szCs w:val="28"/>
        </w:rPr>
      </w:pPr>
      <w:r>
        <w:drawing>
          <wp:inline distT="0" distB="0" distL="0" distR="0">
            <wp:extent cx="5274310" cy="52057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5205730"/>
                    </a:xfrm>
                    <a:prstGeom prst="rect">
                      <a:avLst/>
                    </a:prstGeom>
                  </pic:spPr>
                </pic:pic>
              </a:graphicData>
            </a:graphic>
          </wp:inline>
        </w:drawing>
      </w:r>
    </w:p>
    <w:p>
      <w:pPr>
        <w:adjustRightInd w:val="0"/>
        <w:snapToGrid w:val="0"/>
        <w:spacing w:line="348" w:lineRule="auto"/>
        <w:ind w:firstLine="0" w:firstLineChars="0"/>
        <w:jc w:val="center"/>
        <w:rPr>
          <w:rFonts w:cs="Times New Roman"/>
          <w:b/>
          <w:sz w:val="28"/>
          <w:szCs w:val="28"/>
        </w:rPr>
      </w:pPr>
      <w:r>
        <w:rPr>
          <w:rFonts w:cs="Times New Roman"/>
          <w:b/>
          <w:kern w:val="0"/>
          <w:sz w:val="28"/>
          <w:szCs w:val="28"/>
        </w:rPr>
        <w:t>图2.2-1</w:t>
      </w:r>
      <w:r>
        <w:rPr>
          <w:rFonts w:cs="Times New Roman"/>
          <w:b/>
          <w:sz w:val="28"/>
          <w:szCs w:val="28"/>
        </w:rPr>
        <w:t xml:space="preserve">  盛虹石化网站公示截图</w:t>
      </w:r>
    </w:p>
    <w:p>
      <w:pPr>
        <w:pStyle w:val="3"/>
        <w:spacing w:before="156" w:after="156"/>
        <w:rPr>
          <w:rFonts w:cs="Times New Roman"/>
          <w:b w:val="0"/>
          <w:sz w:val="28"/>
          <w:szCs w:val="28"/>
        </w:rPr>
      </w:pPr>
      <w:bookmarkStart w:id="12" w:name="_Toc76542521"/>
      <w:r>
        <w:rPr>
          <w:rFonts w:cs="Times New Roman"/>
          <w:sz w:val="28"/>
          <w:szCs w:val="28"/>
        </w:rPr>
        <w:t>2.3 公众意见情况</w:t>
      </w:r>
      <w:bookmarkEnd w:id="12"/>
    </w:p>
    <w:p>
      <w:pPr>
        <w:adjustRightInd w:val="0"/>
        <w:snapToGrid w:val="0"/>
        <w:spacing w:line="348" w:lineRule="auto"/>
        <w:ind w:firstLine="660" w:firstLineChars="0"/>
        <w:rPr>
          <w:rFonts w:cs="Times New Roman"/>
          <w:sz w:val="28"/>
          <w:szCs w:val="28"/>
        </w:rPr>
      </w:pPr>
      <w:r>
        <w:rPr>
          <w:rFonts w:cs="Times New Roman"/>
          <w:sz w:val="28"/>
          <w:szCs w:val="28"/>
        </w:rPr>
        <w:t>本次建设项目环境影响评价公众意见表见表2.3-1。本次网络公示期间未收到公众反馈意见。</w:t>
      </w:r>
    </w:p>
    <w:p>
      <w:pPr>
        <w:adjustRightInd w:val="0"/>
        <w:snapToGrid w:val="0"/>
        <w:spacing w:line="240" w:lineRule="auto"/>
        <w:ind w:firstLine="0" w:firstLineChars="0"/>
        <w:jc w:val="center"/>
        <w:rPr>
          <w:rFonts w:cs="Times New Roman"/>
          <w:b/>
          <w:bCs/>
          <w:sz w:val="28"/>
          <w:szCs w:val="28"/>
        </w:rPr>
      </w:pPr>
      <w:r>
        <w:rPr>
          <w:rFonts w:cs="Times New Roman"/>
          <w:b/>
          <w:bCs/>
          <w:sz w:val="28"/>
          <w:szCs w:val="28"/>
        </w:rPr>
        <w:t>表2.3-1  建设项目环境影响评价公众意见表</w:t>
      </w:r>
    </w:p>
    <w:p>
      <w:pPr>
        <w:adjustRightInd w:val="0"/>
        <w:snapToGrid w:val="0"/>
        <w:spacing w:line="408" w:lineRule="auto"/>
        <w:ind w:firstLine="0" w:firstLineChars="0"/>
        <w:rPr>
          <w:rFonts w:cs="Times New Roman"/>
          <w:sz w:val="28"/>
          <w:szCs w:val="28"/>
        </w:rPr>
      </w:pPr>
    </w:p>
    <w:p>
      <w:pPr>
        <w:adjustRightInd w:val="0"/>
        <w:snapToGrid w:val="0"/>
        <w:spacing w:after="156" w:afterLines="50" w:line="240" w:lineRule="auto"/>
        <w:ind w:firstLine="0" w:firstLineChars="0"/>
        <w:rPr>
          <w:rFonts w:cs="Times New Roman"/>
          <w:b/>
          <w:sz w:val="28"/>
          <w:szCs w:val="28"/>
        </w:rPr>
      </w:pPr>
      <w:r>
        <w:rPr>
          <w:rFonts w:cs="Times New Roman"/>
          <w:b/>
          <w:sz w:val="28"/>
          <w:szCs w:val="28"/>
        </w:rPr>
        <w:t xml:space="preserve">填表日期 </w:t>
      </w:r>
      <w:r>
        <w:rPr>
          <w:rFonts w:cs="Times New Roman"/>
          <w:b/>
          <w:sz w:val="28"/>
          <w:szCs w:val="28"/>
          <w:u w:val="single"/>
        </w:rPr>
        <w:t xml:space="preserve">         年   月   日</w:t>
      </w:r>
    </w:p>
    <w:tbl>
      <w:tblPr>
        <w:tblStyle w:val="2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2381"/>
        <w:gridCol w:w="4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35" w:type="pct"/>
            <w:vAlign w:val="center"/>
          </w:tcPr>
          <w:p>
            <w:pPr>
              <w:adjustRightInd w:val="0"/>
              <w:snapToGrid w:val="0"/>
              <w:spacing w:line="240" w:lineRule="auto"/>
              <w:ind w:firstLine="0" w:firstLineChars="0"/>
              <w:rPr>
                <w:rFonts w:cs="Times New Roman"/>
                <w:szCs w:val="24"/>
              </w:rPr>
            </w:pPr>
            <w:r>
              <w:rPr>
                <w:rFonts w:cs="Times New Roman"/>
                <w:bCs/>
                <w:szCs w:val="24"/>
              </w:rPr>
              <w:t>项目名称</w:t>
            </w:r>
          </w:p>
        </w:tc>
        <w:tc>
          <w:tcPr>
            <w:tcW w:w="4065" w:type="pct"/>
            <w:gridSpan w:val="2"/>
            <w:vAlign w:val="center"/>
          </w:tcPr>
          <w:p>
            <w:pPr>
              <w:adjustRightInd w:val="0"/>
              <w:snapToGrid w:val="0"/>
              <w:spacing w:line="240" w:lineRule="auto"/>
              <w:ind w:firstLine="0" w:firstLineChars="0"/>
              <w:rPr>
                <w:rFonts w:cs="Times New Roman"/>
                <w:bCs/>
                <w:szCs w:val="24"/>
              </w:rPr>
            </w:pPr>
            <w:r>
              <w:rPr>
                <w:rFonts w:hint="eastAsia" w:cs="Times New Roman"/>
                <w:bCs/>
                <w:szCs w:val="24"/>
              </w:rPr>
              <w:t>盛虹炼化一体化仓储罐区（港前大道东地块）项目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pPr>
              <w:adjustRightInd w:val="0"/>
              <w:snapToGrid w:val="0"/>
              <w:spacing w:line="240" w:lineRule="auto"/>
              <w:ind w:firstLine="0" w:firstLineChars="0"/>
              <w:jc w:val="left"/>
              <w:rPr>
                <w:rFonts w:cs="Times New Roman"/>
                <w:szCs w:val="24"/>
              </w:rPr>
            </w:pPr>
            <w:r>
              <w:rPr>
                <w:rFonts w:cs="Times New Roman"/>
                <w:szCs w:val="24"/>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935" w:type="pct"/>
            <w:vAlign w:val="center"/>
          </w:tcPr>
          <w:p>
            <w:pPr>
              <w:adjustRightInd w:val="0"/>
              <w:snapToGrid w:val="0"/>
              <w:spacing w:line="240" w:lineRule="auto"/>
              <w:ind w:firstLine="0" w:firstLineChars="0"/>
              <w:rPr>
                <w:rFonts w:cs="Times New Roman"/>
                <w:szCs w:val="24"/>
              </w:rPr>
            </w:pPr>
            <w:r>
              <w:rPr>
                <w:rFonts w:cs="Times New Roman"/>
                <w:b/>
                <w:bCs/>
                <w:szCs w:val="24"/>
              </w:rPr>
              <w:t>与本项目环境影响和环境保护措施有关的建议和意见</w:t>
            </w:r>
            <w:r>
              <w:rPr>
                <w:rFonts w:cs="Times New Roman"/>
                <w:szCs w:val="24"/>
              </w:rPr>
              <w:t>（</w:t>
            </w:r>
            <w:r>
              <w:rPr>
                <w:rFonts w:cs="Times New Roman"/>
                <w:b/>
                <w:bCs/>
                <w:szCs w:val="24"/>
              </w:rPr>
              <w:t>注：</w:t>
            </w:r>
            <w:r>
              <w:rPr>
                <w:rFonts w:cs="Times New Roman"/>
                <w:szCs w:val="24"/>
              </w:rPr>
              <w:t>根据《环境影响评价公众参与办法》规定，涉及</w:t>
            </w:r>
            <w:r>
              <w:rPr>
                <w:rFonts w:cs="Times New Roman"/>
                <w:b/>
                <w:bCs/>
                <w:szCs w:val="24"/>
              </w:rPr>
              <w:t>征地拆迁、财产、就业</w:t>
            </w:r>
            <w:r>
              <w:rPr>
                <w:rFonts w:cs="Times New Roman"/>
                <w:szCs w:val="24"/>
              </w:rPr>
              <w:t>等与项目环评无关的意见或者诉求不属于项目环评公参内容）</w:t>
            </w:r>
          </w:p>
        </w:tc>
        <w:tc>
          <w:tcPr>
            <w:tcW w:w="4065" w:type="pct"/>
            <w:gridSpan w:val="2"/>
          </w:tcPr>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r>
              <w:rPr>
                <w:rFonts w:cs="Times New Roman"/>
                <w:szCs w:val="24"/>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pPr>
              <w:adjustRightInd w:val="0"/>
              <w:snapToGrid w:val="0"/>
              <w:spacing w:line="240" w:lineRule="auto"/>
              <w:ind w:firstLine="0" w:firstLineChars="0"/>
              <w:rPr>
                <w:rFonts w:cs="Times New Roman"/>
                <w:szCs w:val="24"/>
              </w:rPr>
            </w:pPr>
            <w:r>
              <w:rPr>
                <w:rFonts w:cs="Times New Roman"/>
                <w:szCs w:val="24"/>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pPr>
              <w:adjustRightInd w:val="0"/>
              <w:snapToGrid w:val="0"/>
              <w:spacing w:line="240" w:lineRule="auto"/>
              <w:ind w:firstLine="0" w:firstLineChars="0"/>
              <w:rPr>
                <w:rFonts w:cs="Times New Roman"/>
                <w:szCs w:val="24"/>
              </w:rPr>
            </w:pPr>
            <w:r>
              <w:rPr>
                <w:rFonts w:cs="Times New Roman"/>
                <w:b/>
                <w:bCs/>
                <w:szCs w:val="24"/>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姓   名</w:t>
            </w:r>
          </w:p>
        </w:tc>
        <w:tc>
          <w:tcPr>
            <w:tcW w:w="2668" w:type="pct"/>
            <w:vAlign w:val="center"/>
          </w:tcPr>
          <w:p>
            <w:pPr>
              <w:adjustRightInd w:val="0"/>
              <w:snapToGrid w:val="0"/>
              <w:spacing w:line="240" w:lineRule="auto"/>
              <w:ind w:firstLine="0" w:firstLineChars="0"/>
              <w:rPr>
                <w:rFonts w:cs="Times New Roman"/>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身份证号</w:t>
            </w:r>
          </w:p>
        </w:tc>
        <w:tc>
          <w:tcPr>
            <w:tcW w:w="2668" w:type="pct"/>
            <w:vAlign w:val="center"/>
          </w:tcPr>
          <w:p>
            <w:pPr>
              <w:adjustRightInd w:val="0"/>
              <w:snapToGrid w:val="0"/>
              <w:spacing w:line="240" w:lineRule="auto"/>
              <w:ind w:firstLine="0" w:firstLineChars="0"/>
              <w:rPr>
                <w:rFonts w:cs="Times New Roman"/>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有效联系方式</w:t>
            </w:r>
          </w:p>
          <w:p>
            <w:pPr>
              <w:adjustRightInd w:val="0"/>
              <w:snapToGrid w:val="0"/>
              <w:spacing w:line="240" w:lineRule="auto"/>
              <w:ind w:firstLine="0" w:firstLineChars="0"/>
              <w:jc w:val="center"/>
              <w:rPr>
                <w:rFonts w:cs="Times New Roman"/>
                <w:szCs w:val="24"/>
              </w:rPr>
            </w:pPr>
            <w:r>
              <w:rPr>
                <w:rFonts w:cs="Times New Roman"/>
                <w:szCs w:val="24"/>
              </w:rPr>
              <w:t>（电话号码或邮箱）</w:t>
            </w:r>
          </w:p>
        </w:tc>
        <w:tc>
          <w:tcPr>
            <w:tcW w:w="2668" w:type="pct"/>
            <w:vAlign w:val="center"/>
          </w:tcPr>
          <w:p>
            <w:pPr>
              <w:adjustRightInd w:val="0"/>
              <w:snapToGrid w:val="0"/>
              <w:spacing w:line="240" w:lineRule="auto"/>
              <w:ind w:firstLine="0" w:firstLineChars="0"/>
              <w:rPr>
                <w:rFonts w:cs="Times New Roman"/>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经常居住地址</w:t>
            </w:r>
          </w:p>
        </w:tc>
        <w:tc>
          <w:tcPr>
            <w:tcW w:w="2668" w:type="pct"/>
            <w:vAlign w:val="center"/>
          </w:tcPr>
          <w:p>
            <w:pPr>
              <w:adjustRightInd w:val="0"/>
              <w:snapToGrid w:val="0"/>
              <w:spacing w:line="240" w:lineRule="auto"/>
              <w:ind w:firstLine="0" w:firstLineChars="0"/>
              <w:rPr>
                <w:rFonts w:cs="Times New Roman"/>
                <w:szCs w:val="24"/>
              </w:rPr>
            </w:pPr>
            <w:r>
              <w:rPr>
                <w:rFonts w:cs="Times New Roman"/>
                <w:szCs w:val="24"/>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是否同意公开个人信息</w:t>
            </w:r>
          </w:p>
          <w:p>
            <w:pPr>
              <w:adjustRightInd w:val="0"/>
              <w:snapToGrid w:val="0"/>
              <w:spacing w:line="240" w:lineRule="auto"/>
              <w:ind w:firstLine="0" w:firstLineChars="0"/>
              <w:jc w:val="center"/>
              <w:rPr>
                <w:rFonts w:cs="Times New Roman"/>
                <w:b/>
                <w:bCs/>
                <w:szCs w:val="24"/>
              </w:rPr>
            </w:pPr>
            <w:r>
              <w:rPr>
                <w:rFonts w:cs="Times New Roman"/>
                <w:szCs w:val="24"/>
              </w:rPr>
              <w:t>（填同意或不同意）</w:t>
            </w:r>
          </w:p>
        </w:tc>
        <w:tc>
          <w:tcPr>
            <w:tcW w:w="2668" w:type="pct"/>
            <w:vAlign w:val="center"/>
          </w:tcPr>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p>
          <w:p>
            <w:pPr>
              <w:adjustRightInd w:val="0"/>
              <w:snapToGrid w:val="0"/>
              <w:spacing w:line="240" w:lineRule="auto"/>
              <w:ind w:firstLine="0" w:firstLineChars="0"/>
              <w:rPr>
                <w:rFonts w:cs="Times New Roman"/>
                <w:szCs w:val="24"/>
              </w:rPr>
            </w:pPr>
            <w:r>
              <w:rPr>
                <w:rFonts w:cs="Times New Roman"/>
                <w:szCs w:val="24"/>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pPr>
              <w:adjustRightInd w:val="0"/>
              <w:snapToGrid w:val="0"/>
              <w:spacing w:line="240" w:lineRule="auto"/>
              <w:ind w:firstLine="0" w:firstLineChars="0"/>
              <w:jc w:val="left"/>
              <w:rPr>
                <w:rFonts w:cs="Times New Roman"/>
                <w:szCs w:val="24"/>
              </w:rPr>
            </w:pPr>
            <w:r>
              <w:rPr>
                <w:rFonts w:cs="Times New Roman"/>
                <w:b/>
                <w:bCs/>
                <w:szCs w:val="24"/>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单位名称</w:t>
            </w:r>
          </w:p>
        </w:tc>
        <w:tc>
          <w:tcPr>
            <w:tcW w:w="2668" w:type="pct"/>
          </w:tcPr>
          <w:p>
            <w:pPr>
              <w:adjustRightInd w:val="0"/>
              <w:snapToGrid w:val="0"/>
              <w:spacing w:line="240" w:lineRule="auto"/>
              <w:ind w:firstLine="0" w:firstLineChars="0"/>
              <w:rPr>
                <w:rFonts w:cs="Times New Roman"/>
                <w:b/>
                <w:bCs/>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工商注册号或统一社会信用代码</w:t>
            </w:r>
          </w:p>
        </w:tc>
        <w:tc>
          <w:tcPr>
            <w:tcW w:w="2668" w:type="pct"/>
          </w:tcPr>
          <w:p>
            <w:pPr>
              <w:adjustRightInd w:val="0"/>
              <w:snapToGrid w:val="0"/>
              <w:spacing w:line="240" w:lineRule="auto"/>
              <w:ind w:firstLine="0" w:firstLineChars="0"/>
              <w:rPr>
                <w:rFonts w:cs="Times New Roman"/>
                <w:b/>
                <w:bCs/>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有效联系方式</w:t>
            </w:r>
          </w:p>
          <w:p>
            <w:pPr>
              <w:adjustRightInd w:val="0"/>
              <w:snapToGrid w:val="0"/>
              <w:spacing w:line="240" w:lineRule="auto"/>
              <w:ind w:firstLine="0" w:firstLineChars="0"/>
              <w:jc w:val="center"/>
              <w:rPr>
                <w:rFonts w:cs="Times New Roman"/>
                <w:b/>
                <w:bCs/>
                <w:szCs w:val="24"/>
              </w:rPr>
            </w:pPr>
            <w:r>
              <w:rPr>
                <w:rFonts w:cs="Times New Roman"/>
                <w:szCs w:val="24"/>
              </w:rPr>
              <w:t>（电话号码或邮箱）</w:t>
            </w:r>
          </w:p>
        </w:tc>
        <w:tc>
          <w:tcPr>
            <w:tcW w:w="2668" w:type="pct"/>
          </w:tcPr>
          <w:p>
            <w:pPr>
              <w:adjustRightInd w:val="0"/>
              <w:snapToGrid w:val="0"/>
              <w:spacing w:line="240" w:lineRule="auto"/>
              <w:ind w:firstLine="0" w:firstLineChars="0"/>
              <w:rPr>
                <w:rFonts w:cs="Times New Roman"/>
                <w:b/>
                <w:bCs/>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2332" w:type="pct"/>
            <w:gridSpan w:val="2"/>
            <w:vAlign w:val="center"/>
          </w:tcPr>
          <w:p>
            <w:pPr>
              <w:adjustRightInd w:val="0"/>
              <w:snapToGrid w:val="0"/>
              <w:spacing w:line="240" w:lineRule="auto"/>
              <w:ind w:firstLine="0" w:firstLineChars="0"/>
              <w:jc w:val="center"/>
              <w:rPr>
                <w:rFonts w:cs="Times New Roman"/>
                <w:b/>
                <w:bCs/>
                <w:szCs w:val="24"/>
              </w:rPr>
            </w:pPr>
            <w:r>
              <w:rPr>
                <w:rFonts w:cs="Times New Roman"/>
                <w:b/>
                <w:bCs/>
                <w:szCs w:val="24"/>
              </w:rPr>
              <w:t>地    址</w:t>
            </w:r>
          </w:p>
        </w:tc>
        <w:tc>
          <w:tcPr>
            <w:tcW w:w="2668" w:type="pct"/>
            <w:vAlign w:val="center"/>
          </w:tcPr>
          <w:p>
            <w:pPr>
              <w:adjustRightInd w:val="0"/>
              <w:snapToGrid w:val="0"/>
              <w:spacing w:line="240" w:lineRule="auto"/>
              <w:ind w:firstLine="0" w:firstLineChars="0"/>
              <w:rPr>
                <w:rFonts w:cs="Times New Roman"/>
                <w:b/>
                <w:bCs/>
                <w:szCs w:val="24"/>
              </w:rPr>
            </w:pPr>
            <w:r>
              <w:rPr>
                <w:rFonts w:cs="Times New Roman"/>
                <w:szCs w:val="24"/>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5000" w:type="pct"/>
            <w:gridSpan w:val="3"/>
            <w:vAlign w:val="center"/>
          </w:tcPr>
          <w:p>
            <w:pPr>
              <w:tabs>
                <w:tab w:val="left" w:pos="2535"/>
              </w:tabs>
              <w:adjustRightInd w:val="0"/>
              <w:snapToGrid w:val="0"/>
              <w:spacing w:before="249" w:beforeLines="80" w:line="240" w:lineRule="auto"/>
              <w:ind w:firstLine="0" w:firstLineChars="0"/>
              <w:rPr>
                <w:rFonts w:cs="Times New Roman"/>
                <w:bCs/>
                <w:szCs w:val="24"/>
              </w:rPr>
            </w:pPr>
            <w:r>
              <w:rPr>
                <w:rFonts w:cs="Times New Roman"/>
                <w:bCs/>
                <w:szCs w:val="24"/>
              </w:rPr>
              <w:t>注：法人或其他组织信息原则上可以公开，若涉及不能公开的信息请在此栏中注明法律依据和不能公开的具体信息。</w:t>
            </w:r>
          </w:p>
        </w:tc>
      </w:tr>
    </w:tbl>
    <w:p>
      <w:pPr>
        <w:ind w:firstLine="560"/>
        <w:rPr>
          <w:rFonts w:cs="Times New Roman"/>
          <w:bCs/>
          <w:color w:val="FF0000"/>
          <w:sz w:val="28"/>
          <w:szCs w:val="28"/>
        </w:rPr>
      </w:pPr>
      <w:r>
        <w:rPr>
          <w:rFonts w:cs="Times New Roman"/>
          <w:color w:val="FF0000"/>
          <w:sz w:val="28"/>
          <w:szCs w:val="28"/>
        </w:rPr>
        <w:br w:type="page"/>
      </w:r>
    </w:p>
    <w:p>
      <w:pPr>
        <w:pStyle w:val="2"/>
        <w:spacing w:before="156" w:after="156"/>
        <w:rPr>
          <w:rFonts w:cs="Times New Roman"/>
          <w:sz w:val="36"/>
          <w:szCs w:val="36"/>
        </w:rPr>
      </w:pPr>
      <w:bookmarkStart w:id="13" w:name="_Toc76542522"/>
      <w:r>
        <w:rPr>
          <w:rFonts w:cs="Times New Roman"/>
          <w:sz w:val="36"/>
          <w:szCs w:val="36"/>
        </w:rPr>
        <w:t>3 征求意见稿公示情况</w:t>
      </w:r>
      <w:bookmarkEnd w:id="13"/>
    </w:p>
    <w:p>
      <w:pPr>
        <w:pStyle w:val="3"/>
        <w:spacing w:before="156" w:after="156"/>
        <w:rPr>
          <w:rFonts w:cs="Times New Roman"/>
          <w:sz w:val="28"/>
          <w:szCs w:val="28"/>
        </w:rPr>
      </w:pPr>
      <w:bookmarkStart w:id="14" w:name="_Toc76542523"/>
      <w:r>
        <w:rPr>
          <w:rFonts w:cs="Times New Roman"/>
          <w:sz w:val="28"/>
          <w:szCs w:val="28"/>
        </w:rPr>
        <w:t>3.1 公示内容及时限</w:t>
      </w:r>
      <w:bookmarkEnd w:id="14"/>
    </w:p>
    <w:p>
      <w:pPr>
        <w:adjustRightInd w:val="0"/>
        <w:snapToGrid w:val="0"/>
        <w:spacing w:line="348" w:lineRule="auto"/>
        <w:ind w:firstLine="660" w:firstLineChars="0"/>
        <w:rPr>
          <w:rFonts w:cs="Times New Roman"/>
          <w:sz w:val="28"/>
          <w:szCs w:val="28"/>
        </w:rPr>
      </w:pPr>
      <w:r>
        <w:rPr>
          <w:rFonts w:cs="Times New Roman"/>
          <w:sz w:val="28"/>
          <w:szCs w:val="28"/>
        </w:rPr>
        <w:t>依据《办法》第十条，在本建设项目环境影响报告书征求意见稿形成后（主要内容已基本完成），</w:t>
      </w:r>
      <w:r>
        <w:rPr>
          <w:rFonts w:hint="eastAsia" w:cs="Times New Roman"/>
          <w:bCs/>
          <w:sz w:val="28"/>
          <w:szCs w:val="28"/>
        </w:rPr>
        <w:t>盛虹炼化（连云港）有限公司</w:t>
      </w:r>
      <w:r>
        <w:rPr>
          <w:rFonts w:cs="Times New Roman"/>
          <w:sz w:val="28"/>
          <w:szCs w:val="28"/>
        </w:rPr>
        <w:t>实施了征求意见稿公示，公示时限2021年7月10日至7月23日。公示内容包括：</w:t>
      </w:r>
    </w:p>
    <w:p>
      <w:pPr>
        <w:adjustRightInd w:val="0"/>
        <w:snapToGrid w:val="0"/>
        <w:spacing w:line="348" w:lineRule="auto"/>
        <w:ind w:firstLine="660" w:firstLineChars="0"/>
        <w:rPr>
          <w:rFonts w:cs="Times New Roman"/>
          <w:sz w:val="28"/>
          <w:szCs w:val="28"/>
        </w:rPr>
      </w:pPr>
      <w:r>
        <w:rPr>
          <w:rFonts w:cs="Times New Roman"/>
          <w:sz w:val="28"/>
          <w:szCs w:val="28"/>
        </w:rPr>
        <w:t>（一）环境影响报告书征求意见稿全文的网络链接及查阅纸质报告书的方式和途径；</w:t>
      </w:r>
    </w:p>
    <w:p>
      <w:pPr>
        <w:adjustRightInd w:val="0"/>
        <w:snapToGrid w:val="0"/>
        <w:spacing w:line="348" w:lineRule="auto"/>
        <w:ind w:firstLine="660" w:firstLineChars="0"/>
        <w:rPr>
          <w:rFonts w:cs="Times New Roman"/>
          <w:sz w:val="28"/>
          <w:szCs w:val="28"/>
        </w:rPr>
      </w:pPr>
      <w:r>
        <w:rPr>
          <w:rFonts w:cs="Times New Roman"/>
          <w:sz w:val="28"/>
          <w:szCs w:val="28"/>
        </w:rPr>
        <w:t>（二）征求意见的公众范围；</w:t>
      </w:r>
    </w:p>
    <w:p>
      <w:pPr>
        <w:adjustRightInd w:val="0"/>
        <w:snapToGrid w:val="0"/>
        <w:spacing w:line="348" w:lineRule="auto"/>
        <w:ind w:firstLine="660" w:firstLineChars="0"/>
        <w:rPr>
          <w:rFonts w:cs="Times New Roman"/>
          <w:sz w:val="28"/>
          <w:szCs w:val="28"/>
        </w:rPr>
      </w:pPr>
      <w:r>
        <w:rPr>
          <w:rFonts w:cs="Times New Roman"/>
          <w:sz w:val="28"/>
          <w:szCs w:val="28"/>
        </w:rPr>
        <w:t>（三）公众意见表的网络链接；</w:t>
      </w:r>
    </w:p>
    <w:p>
      <w:pPr>
        <w:adjustRightInd w:val="0"/>
        <w:snapToGrid w:val="0"/>
        <w:spacing w:line="348" w:lineRule="auto"/>
        <w:ind w:firstLine="660" w:firstLineChars="0"/>
        <w:rPr>
          <w:rFonts w:cs="Times New Roman"/>
          <w:sz w:val="28"/>
          <w:szCs w:val="28"/>
        </w:rPr>
      </w:pPr>
      <w:r>
        <w:rPr>
          <w:rFonts w:cs="Times New Roman"/>
          <w:sz w:val="28"/>
          <w:szCs w:val="28"/>
        </w:rPr>
        <w:t>（四）公众提出意见的方式和途径；</w:t>
      </w:r>
    </w:p>
    <w:p>
      <w:pPr>
        <w:adjustRightInd w:val="0"/>
        <w:snapToGrid w:val="0"/>
        <w:spacing w:line="348" w:lineRule="auto"/>
        <w:ind w:firstLine="660" w:firstLineChars="0"/>
        <w:rPr>
          <w:rFonts w:cs="Times New Roman"/>
          <w:sz w:val="28"/>
          <w:szCs w:val="28"/>
        </w:rPr>
      </w:pPr>
      <w:r>
        <w:rPr>
          <w:rFonts w:cs="Times New Roman"/>
          <w:sz w:val="28"/>
          <w:szCs w:val="28"/>
        </w:rPr>
        <w:t>（五）公众提出意见的起止时间。</w:t>
      </w:r>
    </w:p>
    <w:p>
      <w:pPr>
        <w:adjustRightInd w:val="0"/>
        <w:snapToGrid w:val="0"/>
        <w:spacing w:line="348" w:lineRule="auto"/>
        <w:ind w:firstLine="660" w:firstLineChars="0"/>
        <w:rPr>
          <w:rFonts w:cs="Times New Roman"/>
          <w:sz w:val="28"/>
          <w:szCs w:val="28"/>
        </w:rPr>
      </w:pPr>
      <w:r>
        <w:rPr>
          <w:rFonts w:cs="Times New Roman"/>
          <w:sz w:val="28"/>
          <w:szCs w:val="28"/>
        </w:rPr>
        <w:t>公示内容及时限符合《办法》要求。</w:t>
      </w:r>
    </w:p>
    <w:p>
      <w:pPr>
        <w:pStyle w:val="3"/>
        <w:spacing w:before="156" w:after="156"/>
        <w:rPr>
          <w:rFonts w:cs="Times New Roman"/>
          <w:b w:val="0"/>
          <w:sz w:val="28"/>
          <w:szCs w:val="28"/>
        </w:rPr>
      </w:pPr>
      <w:bookmarkStart w:id="15" w:name="_Toc76542524"/>
      <w:r>
        <w:rPr>
          <w:rFonts w:cs="Times New Roman"/>
          <w:sz w:val="28"/>
          <w:szCs w:val="28"/>
        </w:rPr>
        <w:t>3.2 公示方式</w:t>
      </w:r>
      <w:bookmarkEnd w:id="15"/>
    </w:p>
    <w:p>
      <w:pPr>
        <w:adjustRightInd w:val="0"/>
        <w:snapToGrid w:val="0"/>
        <w:spacing w:line="348" w:lineRule="auto"/>
        <w:ind w:firstLine="560"/>
        <w:rPr>
          <w:rFonts w:cs="Times New Roman"/>
          <w:sz w:val="28"/>
          <w:szCs w:val="28"/>
        </w:rPr>
      </w:pPr>
      <w:r>
        <w:rPr>
          <w:rFonts w:cs="Times New Roman"/>
          <w:sz w:val="28"/>
          <w:szCs w:val="28"/>
        </w:rPr>
        <w:t>依据《办法》第十一条，建设单位通过网络公开、报纸公开和张贴公告的方式进行征求意见稿公示。</w:t>
      </w:r>
    </w:p>
    <w:p>
      <w:pPr>
        <w:pStyle w:val="4"/>
        <w:spacing w:after="156" w:afterLines="50"/>
        <w:rPr>
          <w:rFonts w:cs="Times New Roman"/>
          <w:szCs w:val="28"/>
        </w:rPr>
      </w:pPr>
      <w:bookmarkStart w:id="16" w:name="_Toc76542525"/>
      <w:r>
        <w:rPr>
          <w:rFonts w:cs="Times New Roman"/>
          <w:szCs w:val="28"/>
        </w:rPr>
        <w:t>3.2.1 网络</w:t>
      </w:r>
      <w:bookmarkEnd w:id="16"/>
    </w:p>
    <w:p>
      <w:pPr>
        <w:adjustRightInd w:val="0"/>
        <w:snapToGrid w:val="0"/>
        <w:spacing w:line="348" w:lineRule="auto"/>
        <w:ind w:firstLine="560"/>
        <w:rPr>
          <w:rFonts w:cs="Times New Roman"/>
          <w:sz w:val="28"/>
          <w:szCs w:val="28"/>
        </w:rPr>
      </w:pPr>
      <w:r>
        <w:rPr>
          <w:rFonts w:cs="Times New Roman"/>
          <w:sz w:val="28"/>
          <w:szCs w:val="28"/>
        </w:rPr>
        <w:t>网络平台公开具体实施见表3.2-1，公示截图见图3.2-1。网络公开期间未收到公众反馈意见。</w:t>
      </w:r>
    </w:p>
    <w:p>
      <w:pPr>
        <w:adjustRightInd w:val="0"/>
        <w:snapToGrid w:val="0"/>
        <w:spacing w:line="348" w:lineRule="auto"/>
        <w:ind w:firstLine="0" w:firstLineChars="0"/>
        <w:jc w:val="center"/>
        <w:rPr>
          <w:rFonts w:cs="Times New Roman"/>
          <w:sz w:val="28"/>
          <w:szCs w:val="28"/>
        </w:rPr>
      </w:pPr>
      <w:r>
        <w:rPr>
          <w:rFonts w:cs="Times New Roman"/>
          <w:b/>
          <w:kern w:val="0"/>
          <w:sz w:val="28"/>
          <w:szCs w:val="28"/>
        </w:rPr>
        <w:t>表3.2-1</w:t>
      </w:r>
      <w:r>
        <w:rPr>
          <w:rFonts w:cs="Times New Roman"/>
          <w:sz w:val="28"/>
          <w:szCs w:val="28"/>
        </w:rPr>
        <w:t xml:space="preserve">  网络平台公众参与环节实施进展</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108" w:type="dxa"/>
          <w:bottom w:w="57" w:type="dxa"/>
          <w:right w:w="108" w:type="dxa"/>
        </w:tblCellMar>
      </w:tblPr>
      <w:tblGrid>
        <w:gridCol w:w="727"/>
        <w:gridCol w:w="4944"/>
        <w:gridCol w:w="28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427" w:type="pct"/>
            <w:vAlign w:val="center"/>
          </w:tcPr>
          <w:p>
            <w:pPr>
              <w:adjustRightInd w:val="0"/>
              <w:snapToGrid w:val="0"/>
              <w:spacing w:line="240" w:lineRule="auto"/>
              <w:ind w:firstLine="0" w:firstLineChars="0"/>
              <w:jc w:val="center"/>
              <w:rPr>
                <w:rFonts w:cs="Times New Roman"/>
                <w:b/>
                <w:kern w:val="0"/>
                <w:szCs w:val="24"/>
              </w:rPr>
            </w:pPr>
            <w:r>
              <w:rPr>
                <w:rFonts w:cs="Times New Roman"/>
                <w:b/>
                <w:kern w:val="0"/>
                <w:szCs w:val="24"/>
              </w:rPr>
              <w:t>序号</w:t>
            </w:r>
          </w:p>
        </w:tc>
        <w:tc>
          <w:tcPr>
            <w:tcW w:w="2901" w:type="pct"/>
            <w:vAlign w:val="center"/>
          </w:tcPr>
          <w:p>
            <w:pPr>
              <w:adjustRightInd w:val="0"/>
              <w:snapToGrid w:val="0"/>
              <w:spacing w:line="240" w:lineRule="auto"/>
              <w:ind w:firstLine="0" w:firstLineChars="0"/>
              <w:jc w:val="center"/>
              <w:rPr>
                <w:rFonts w:cs="Times New Roman"/>
                <w:b/>
                <w:kern w:val="0"/>
                <w:szCs w:val="24"/>
              </w:rPr>
            </w:pPr>
            <w:r>
              <w:rPr>
                <w:rFonts w:cs="Times New Roman"/>
                <w:b/>
                <w:kern w:val="0"/>
                <w:szCs w:val="24"/>
              </w:rPr>
              <w:t>公开方式</w:t>
            </w:r>
          </w:p>
        </w:tc>
        <w:tc>
          <w:tcPr>
            <w:tcW w:w="1672" w:type="pct"/>
            <w:vAlign w:val="center"/>
          </w:tcPr>
          <w:p>
            <w:pPr>
              <w:adjustRightInd w:val="0"/>
              <w:snapToGrid w:val="0"/>
              <w:spacing w:line="240" w:lineRule="auto"/>
              <w:ind w:firstLine="0" w:firstLineChars="0"/>
              <w:jc w:val="center"/>
              <w:rPr>
                <w:rFonts w:cs="Times New Roman"/>
                <w:b/>
                <w:kern w:val="0"/>
                <w:szCs w:val="24"/>
              </w:rPr>
            </w:pPr>
            <w:r>
              <w:rPr>
                <w:rFonts w:cs="Times New Roman"/>
                <w:b/>
                <w:kern w:val="0"/>
                <w:szCs w:val="24"/>
              </w:rPr>
              <w:t>实施时间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20" w:hRule="atLeast"/>
        </w:trPr>
        <w:tc>
          <w:tcPr>
            <w:tcW w:w="427" w:type="pct"/>
            <w:vAlign w:val="center"/>
          </w:tcPr>
          <w:p>
            <w:pPr>
              <w:adjustRightInd w:val="0"/>
              <w:snapToGrid w:val="0"/>
              <w:spacing w:line="240" w:lineRule="auto"/>
              <w:ind w:firstLine="0" w:firstLineChars="0"/>
              <w:jc w:val="center"/>
              <w:rPr>
                <w:rFonts w:cs="Times New Roman"/>
                <w:kern w:val="0"/>
                <w:szCs w:val="24"/>
              </w:rPr>
            </w:pPr>
            <w:r>
              <w:rPr>
                <w:rFonts w:cs="Times New Roman"/>
                <w:kern w:val="0"/>
                <w:szCs w:val="24"/>
              </w:rPr>
              <w:t>1</w:t>
            </w:r>
          </w:p>
        </w:tc>
        <w:tc>
          <w:tcPr>
            <w:tcW w:w="2901" w:type="pct"/>
            <w:vAlign w:val="center"/>
          </w:tcPr>
          <w:p>
            <w:pPr>
              <w:adjustRightInd w:val="0"/>
              <w:snapToGrid w:val="0"/>
              <w:spacing w:line="240" w:lineRule="auto"/>
              <w:ind w:firstLine="0" w:firstLineChars="0"/>
              <w:jc w:val="center"/>
              <w:rPr>
                <w:rFonts w:cs="Times New Roman"/>
                <w:kern w:val="0"/>
                <w:szCs w:val="24"/>
              </w:rPr>
            </w:pPr>
            <w:r>
              <w:rPr>
                <w:rFonts w:cs="Times New Roman"/>
                <w:kern w:val="0"/>
                <w:szCs w:val="24"/>
              </w:rPr>
              <w:t>盛虹石化网站</w:t>
            </w:r>
          </w:p>
          <w:p>
            <w:pPr>
              <w:adjustRightInd w:val="0"/>
              <w:snapToGrid w:val="0"/>
              <w:spacing w:line="240" w:lineRule="auto"/>
              <w:ind w:firstLine="0" w:firstLineChars="0"/>
              <w:jc w:val="center"/>
              <w:rPr>
                <w:rFonts w:cs="Times New Roman"/>
                <w:kern w:val="0"/>
                <w:szCs w:val="24"/>
                <w:u w:val="single"/>
              </w:rPr>
            </w:pPr>
            <w:r>
              <w:rPr>
                <w:rFonts w:cs="Times New Roman"/>
                <w:kern w:val="0"/>
                <w:u w:val="single"/>
              </w:rPr>
              <w:t>http://www.shenghongpec.com/gb2312/hbln/hpgs/447.html</w:t>
            </w:r>
          </w:p>
        </w:tc>
        <w:tc>
          <w:tcPr>
            <w:tcW w:w="1672" w:type="pct"/>
            <w:vAlign w:val="center"/>
          </w:tcPr>
          <w:p>
            <w:pPr>
              <w:adjustRightInd w:val="0"/>
              <w:snapToGrid w:val="0"/>
              <w:spacing w:line="240" w:lineRule="auto"/>
              <w:ind w:firstLine="0" w:firstLineChars="0"/>
              <w:jc w:val="center"/>
              <w:rPr>
                <w:rFonts w:cs="Times New Roman"/>
                <w:kern w:val="0"/>
                <w:szCs w:val="24"/>
              </w:rPr>
            </w:pPr>
            <w:r>
              <w:rPr>
                <w:rFonts w:cs="Times New Roman"/>
                <w:kern w:val="0"/>
                <w:szCs w:val="24"/>
              </w:rPr>
              <w:t>2021年7月10日至7月23日</w:t>
            </w:r>
          </w:p>
        </w:tc>
      </w:tr>
    </w:tbl>
    <w:p>
      <w:pPr>
        <w:adjustRightInd w:val="0"/>
        <w:snapToGrid w:val="0"/>
        <w:spacing w:line="348" w:lineRule="auto"/>
        <w:ind w:firstLine="0" w:firstLineChars="0"/>
        <w:jc w:val="center"/>
        <w:rPr>
          <w:rFonts w:cs="Times New Roman"/>
          <w:color w:val="FF0000"/>
          <w:sz w:val="28"/>
          <w:szCs w:val="28"/>
        </w:rPr>
      </w:pPr>
    </w:p>
    <w:p>
      <w:pPr>
        <w:spacing w:line="240" w:lineRule="auto"/>
        <w:ind w:firstLine="0" w:firstLineChars="0"/>
        <w:rPr>
          <w:rFonts w:cs="Times New Roman"/>
          <w:color w:val="FF0000"/>
          <w:sz w:val="21"/>
        </w:rPr>
      </w:pPr>
    </w:p>
    <w:p>
      <w:pPr>
        <w:spacing w:line="240" w:lineRule="auto"/>
        <w:ind w:firstLine="0" w:firstLineChars="0"/>
        <w:rPr>
          <w:rFonts w:cs="Times New Roman"/>
          <w:color w:val="FF0000"/>
        </w:rPr>
      </w:pPr>
      <w:r>
        <w:rPr>
          <w:rFonts w:cs="Times New Roman"/>
          <w:color w:val="FF0000"/>
        </w:rPr>
        <w:t xml:space="preserve"> </w:t>
      </w:r>
      <w:r>
        <w:drawing>
          <wp:inline distT="0" distB="0" distL="0" distR="0">
            <wp:extent cx="5274310" cy="44526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4452620"/>
                    </a:xfrm>
                    <a:prstGeom prst="rect">
                      <a:avLst/>
                    </a:prstGeom>
                  </pic:spPr>
                </pic:pic>
              </a:graphicData>
            </a:graphic>
          </wp:inline>
        </w:drawing>
      </w:r>
    </w:p>
    <w:p>
      <w:pPr>
        <w:spacing w:line="240" w:lineRule="auto"/>
        <w:ind w:firstLine="0" w:firstLineChars="0"/>
        <w:rPr>
          <w:rFonts w:cs="Times New Roman"/>
          <w:color w:val="FF0000"/>
          <w:sz w:val="21"/>
        </w:rPr>
      </w:pPr>
      <w:r>
        <w:drawing>
          <wp:inline distT="0" distB="0" distL="0" distR="0">
            <wp:extent cx="5274310" cy="38493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3849370"/>
                    </a:xfrm>
                    <a:prstGeom prst="rect">
                      <a:avLst/>
                    </a:prstGeom>
                  </pic:spPr>
                </pic:pic>
              </a:graphicData>
            </a:graphic>
          </wp:inline>
        </w:drawing>
      </w:r>
    </w:p>
    <w:p>
      <w:pPr>
        <w:spacing w:line="240" w:lineRule="auto"/>
        <w:ind w:firstLine="0" w:firstLineChars="0"/>
        <w:rPr>
          <w:rFonts w:cs="Times New Roman"/>
          <w:color w:val="FF0000"/>
          <w:sz w:val="21"/>
        </w:rPr>
      </w:pPr>
      <w:r>
        <w:drawing>
          <wp:inline distT="0" distB="0" distL="0" distR="0">
            <wp:extent cx="5274310" cy="42843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4284345"/>
                    </a:xfrm>
                    <a:prstGeom prst="rect">
                      <a:avLst/>
                    </a:prstGeom>
                  </pic:spPr>
                </pic:pic>
              </a:graphicData>
            </a:graphic>
          </wp:inline>
        </w:drawing>
      </w:r>
    </w:p>
    <w:p>
      <w:pPr>
        <w:spacing w:line="240" w:lineRule="auto"/>
        <w:ind w:firstLine="0" w:firstLineChars="0"/>
        <w:rPr>
          <w:rFonts w:cs="Times New Roman"/>
          <w:color w:val="FF0000"/>
          <w:sz w:val="21"/>
        </w:rPr>
      </w:pPr>
      <w:r>
        <w:drawing>
          <wp:inline distT="0" distB="0" distL="0" distR="0">
            <wp:extent cx="5274310" cy="27901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2790190"/>
                    </a:xfrm>
                    <a:prstGeom prst="rect">
                      <a:avLst/>
                    </a:prstGeom>
                  </pic:spPr>
                </pic:pic>
              </a:graphicData>
            </a:graphic>
          </wp:inline>
        </w:drawing>
      </w:r>
    </w:p>
    <w:p>
      <w:pPr>
        <w:adjustRightInd w:val="0"/>
        <w:snapToGrid w:val="0"/>
        <w:spacing w:line="348" w:lineRule="auto"/>
        <w:ind w:firstLine="0" w:firstLineChars="0"/>
        <w:jc w:val="center"/>
        <w:rPr>
          <w:rFonts w:cs="Times New Roman"/>
          <w:b/>
          <w:sz w:val="28"/>
          <w:szCs w:val="28"/>
        </w:rPr>
      </w:pPr>
      <w:r>
        <w:rPr>
          <w:rFonts w:cs="Times New Roman"/>
          <w:b/>
          <w:kern w:val="0"/>
          <w:sz w:val="28"/>
          <w:szCs w:val="28"/>
        </w:rPr>
        <w:t>图3.2-1</w:t>
      </w:r>
      <w:r>
        <w:rPr>
          <w:rFonts w:cs="Times New Roman"/>
          <w:b/>
          <w:sz w:val="28"/>
          <w:szCs w:val="28"/>
        </w:rPr>
        <w:t xml:space="preserve">  盛虹石化网站二次公示截图</w:t>
      </w:r>
    </w:p>
    <w:p>
      <w:pPr>
        <w:pStyle w:val="4"/>
        <w:spacing w:after="156" w:afterLines="50"/>
        <w:rPr>
          <w:rFonts w:cs="Times New Roman"/>
          <w:szCs w:val="28"/>
        </w:rPr>
      </w:pPr>
      <w:bookmarkStart w:id="17" w:name="_Toc76542526"/>
      <w:r>
        <w:rPr>
          <w:rFonts w:cs="Times New Roman"/>
          <w:szCs w:val="28"/>
        </w:rPr>
        <w:t>3.2.2 报纸</w:t>
      </w:r>
      <w:bookmarkEnd w:id="17"/>
    </w:p>
    <w:p>
      <w:pPr>
        <w:adjustRightInd w:val="0"/>
        <w:snapToGrid w:val="0"/>
        <w:spacing w:line="348" w:lineRule="auto"/>
        <w:ind w:firstLine="660" w:firstLineChars="0"/>
        <w:rPr>
          <w:rFonts w:cs="Times New Roman"/>
          <w:sz w:val="28"/>
          <w:szCs w:val="28"/>
        </w:rPr>
      </w:pPr>
      <w:r>
        <w:rPr>
          <w:rFonts w:cs="Times New Roman"/>
          <w:sz w:val="28"/>
          <w:szCs w:val="28"/>
        </w:rPr>
        <w:t>2021年7月22日和2021年7月23日，建设单位在《苍</w:t>
      </w:r>
      <w:r>
        <w:rPr>
          <w:rFonts w:hint="eastAsia" w:cs="Times New Roman"/>
          <w:sz w:val="28"/>
          <w:szCs w:val="28"/>
        </w:rPr>
        <w:t>梧</w:t>
      </w:r>
      <w:r>
        <w:rPr>
          <w:rFonts w:cs="Times New Roman"/>
          <w:sz w:val="28"/>
          <w:szCs w:val="28"/>
        </w:rPr>
        <w:t>晚报》上对建设项目进行了报纸公开。报纸公开见图3.2-2，报纸公开期间未收到公众反馈意见。</w:t>
      </w:r>
    </w:p>
    <w:p>
      <w:pPr>
        <w:adjustRightInd w:val="0"/>
        <w:snapToGrid w:val="0"/>
        <w:spacing w:line="348" w:lineRule="auto"/>
        <w:ind w:firstLine="0" w:firstLineChars="0"/>
        <w:jc w:val="center"/>
        <w:rPr>
          <w:rFonts w:cs="Times New Roman"/>
          <w:b/>
          <w:color w:val="FF0000"/>
          <w:kern w:val="0"/>
          <w:sz w:val="28"/>
          <w:szCs w:val="28"/>
        </w:rPr>
      </w:pPr>
      <w:r>
        <w:drawing>
          <wp:inline distT="0" distB="0" distL="0" distR="0">
            <wp:extent cx="4413250" cy="59690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4413477" cy="5969307"/>
                    </a:xfrm>
                    <a:prstGeom prst="rect">
                      <a:avLst/>
                    </a:prstGeom>
                  </pic:spPr>
                </pic:pic>
              </a:graphicData>
            </a:graphic>
          </wp:inline>
        </w:drawing>
      </w:r>
    </w:p>
    <w:p>
      <w:pPr>
        <w:adjustRightInd w:val="0"/>
        <w:snapToGrid w:val="0"/>
        <w:spacing w:line="348" w:lineRule="auto"/>
        <w:ind w:firstLine="0" w:firstLineChars="0"/>
        <w:jc w:val="center"/>
        <w:rPr>
          <w:rFonts w:cs="Times New Roman"/>
          <w:b/>
          <w:color w:val="FF0000"/>
          <w:kern w:val="0"/>
          <w:sz w:val="28"/>
          <w:szCs w:val="28"/>
        </w:rPr>
      </w:pPr>
      <w:r>
        <w:drawing>
          <wp:inline distT="0" distB="0" distL="0" distR="0">
            <wp:extent cx="4603750" cy="61087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603987" cy="6109014"/>
                    </a:xfrm>
                    <a:prstGeom prst="rect">
                      <a:avLst/>
                    </a:prstGeom>
                  </pic:spPr>
                </pic:pic>
              </a:graphicData>
            </a:graphic>
          </wp:inline>
        </w:drawing>
      </w:r>
    </w:p>
    <w:p>
      <w:pPr>
        <w:adjustRightInd w:val="0"/>
        <w:snapToGrid w:val="0"/>
        <w:spacing w:line="348" w:lineRule="auto"/>
        <w:ind w:firstLine="0" w:firstLineChars="0"/>
        <w:jc w:val="center"/>
        <w:rPr>
          <w:rFonts w:cs="Times New Roman"/>
          <w:b/>
          <w:sz w:val="28"/>
          <w:szCs w:val="28"/>
        </w:rPr>
      </w:pPr>
      <w:r>
        <w:rPr>
          <w:rFonts w:cs="Times New Roman"/>
          <w:b/>
          <w:kern w:val="0"/>
          <w:sz w:val="28"/>
          <w:szCs w:val="28"/>
        </w:rPr>
        <w:t>图3.2-2</w:t>
      </w:r>
      <w:r>
        <w:rPr>
          <w:rFonts w:cs="Times New Roman"/>
          <w:b/>
          <w:sz w:val="28"/>
          <w:szCs w:val="28"/>
        </w:rPr>
        <w:t xml:space="preserve">  本建设项目报纸公开截图</w:t>
      </w:r>
    </w:p>
    <w:p>
      <w:pPr>
        <w:pStyle w:val="4"/>
        <w:spacing w:after="156" w:afterLines="50"/>
        <w:rPr>
          <w:rFonts w:cs="Times New Roman"/>
          <w:szCs w:val="28"/>
        </w:rPr>
      </w:pPr>
      <w:bookmarkStart w:id="18" w:name="_Toc76542527"/>
      <w:r>
        <w:rPr>
          <w:rFonts w:cs="Times New Roman"/>
          <w:szCs w:val="28"/>
        </w:rPr>
        <w:t>3.2.3 张贴公告</w:t>
      </w:r>
      <w:bookmarkEnd w:id="18"/>
    </w:p>
    <w:p>
      <w:pPr>
        <w:adjustRightInd w:val="0"/>
        <w:snapToGrid w:val="0"/>
        <w:spacing w:line="348" w:lineRule="auto"/>
        <w:ind w:firstLine="660" w:firstLineChars="0"/>
        <w:rPr>
          <w:rFonts w:cs="Times New Roman"/>
          <w:sz w:val="28"/>
          <w:szCs w:val="28"/>
        </w:rPr>
        <w:sectPr>
          <w:pgSz w:w="11906" w:h="16838"/>
          <w:pgMar w:top="1440" w:right="1800" w:bottom="1440" w:left="1800" w:header="851" w:footer="992" w:gutter="0"/>
          <w:cols w:space="425" w:num="1"/>
          <w:docGrid w:type="lines" w:linePitch="312" w:charSpace="0"/>
        </w:sectPr>
      </w:pPr>
      <w:r>
        <w:rPr>
          <w:rFonts w:cs="Times New Roman"/>
          <w:sz w:val="28"/>
          <w:szCs w:val="28"/>
        </w:rPr>
        <w:t>第二次公示期间，建设单位在可能受项目影响的环境敏感点附近张贴了信息公告，并进行现场走访，对工程概况、环境影响评价工作、征求公众意见的主要事项及其反馈方式进行了告知。公告张贴期间未收到公众反馈意见。</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313"/>
        <w:gridCol w:w="6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24" w:type="pct"/>
            <w:vAlign w:val="center"/>
          </w:tcPr>
          <w:p>
            <w:pPr>
              <w:adjustRightInd w:val="0"/>
              <w:snapToGrid w:val="0"/>
              <w:spacing w:line="240" w:lineRule="auto"/>
              <w:ind w:firstLine="0" w:firstLineChars="0"/>
              <w:jc w:val="center"/>
              <w:rPr>
                <w:rFonts w:cs="Times New Roman"/>
                <w:b/>
                <w:bCs/>
                <w:kern w:val="0"/>
                <w:szCs w:val="24"/>
              </w:rPr>
            </w:pPr>
            <w:r>
              <w:rPr>
                <w:rFonts w:cs="Times New Roman"/>
                <w:b/>
                <w:bCs/>
                <w:kern w:val="0"/>
                <w:szCs w:val="24"/>
              </w:rPr>
              <w:t>序号</w:t>
            </w:r>
          </w:p>
        </w:tc>
        <w:tc>
          <w:tcPr>
            <w:tcW w:w="770" w:type="pct"/>
            <w:vAlign w:val="center"/>
          </w:tcPr>
          <w:p>
            <w:pPr>
              <w:adjustRightInd w:val="0"/>
              <w:snapToGrid w:val="0"/>
              <w:spacing w:line="240" w:lineRule="auto"/>
              <w:ind w:firstLine="0" w:firstLineChars="0"/>
              <w:jc w:val="center"/>
              <w:rPr>
                <w:rFonts w:cs="Times New Roman"/>
                <w:b/>
                <w:bCs/>
                <w:kern w:val="0"/>
                <w:szCs w:val="24"/>
              </w:rPr>
            </w:pPr>
            <w:r>
              <w:rPr>
                <w:rFonts w:cs="Times New Roman"/>
                <w:b/>
                <w:bCs/>
                <w:kern w:val="0"/>
                <w:szCs w:val="24"/>
              </w:rPr>
              <w:t>公告地点</w:t>
            </w:r>
          </w:p>
        </w:tc>
        <w:tc>
          <w:tcPr>
            <w:tcW w:w="3806" w:type="pct"/>
            <w:vAlign w:val="center"/>
          </w:tcPr>
          <w:p>
            <w:pPr>
              <w:adjustRightInd w:val="0"/>
              <w:snapToGrid w:val="0"/>
              <w:spacing w:line="240" w:lineRule="auto"/>
              <w:ind w:firstLine="0" w:firstLineChars="0"/>
              <w:jc w:val="center"/>
              <w:rPr>
                <w:rFonts w:cs="Times New Roman"/>
                <w:b/>
                <w:bCs/>
                <w:kern w:val="0"/>
                <w:szCs w:val="24"/>
              </w:rPr>
            </w:pPr>
            <w:r>
              <w:rPr>
                <w:rFonts w:cs="Times New Roman"/>
                <w:b/>
                <w:bCs/>
                <w:kern w:val="0"/>
                <w:szCs w:val="24"/>
              </w:rPr>
              <w:t>张贴照片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24" w:type="pct"/>
            <w:vMerge w:val="restart"/>
            <w:vAlign w:val="center"/>
          </w:tcPr>
          <w:p>
            <w:pPr>
              <w:adjustRightInd w:val="0"/>
              <w:snapToGrid w:val="0"/>
              <w:spacing w:line="240" w:lineRule="auto"/>
              <w:ind w:firstLine="0" w:firstLineChars="0"/>
              <w:jc w:val="center"/>
              <w:rPr>
                <w:rFonts w:cs="Times New Roman"/>
                <w:b/>
                <w:bCs/>
                <w:kern w:val="0"/>
                <w:szCs w:val="24"/>
              </w:rPr>
            </w:pPr>
            <w:r>
              <w:rPr>
                <w:rFonts w:cs="Times New Roman"/>
                <w:b/>
                <w:bCs/>
                <w:kern w:val="0"/>
                <w:szCs w:val="24"/>
              </w:rPr>
              <w:t>1</w:t>
            </w:r>
          </w:p>
        </w:tc>
        <w:tc>
          <w:tcPr>
            <w:tcW w:w="770" w:type="pct"/>
            <w:vMerge w:val="restart"/>
            <w:vAlign w:val="center"/>
          </w:tcPr>
          <w:p>
            <w:pPr>
              <w:adjustRightInd w:val="0"/>
              <w:snapToGrid w:val="0"/>
              <w:spacing w:line="240" w:lineRule="auto"/>
              <w:ind w:firstLine="0" w:firstLineChars="0"/>
              <w:jc w:val="center"/>
              <w:rPr>
                <w:rFonts w:cs="Times New Roman"/>
                <w:b/>
                <w:bCs/>
                <w:kern w:val="0"/>
                <w:szCs w:val="24"/>
              </w:rPr>
            </w:pPr>
            <w:r>
              <w:rPr>
                <w:rFonts w:hint="eastAsia" w:cs="Times New Roman"/>
                <w:b/>
                <w:bCs/>
                <w:kern w:val="0"/>
                <w:szCs w:val="24"/>
              </w:rPr>
              <w:t>人才公寓</w:t>
            </w:r>
          </w:p>
        </w:tc>
        <w:tc>
          <w:tcPr>
            <w:tcW w:w="3806" w:type="pct"/>
            <w:vAlign w:val="center"/>
          </w:tcPr>
          <w:p>
            <w:pPr>
              <w:adjustRightInd w:val="0"/>
              <w:snapToGrid w:val="0"/>
              <w:spacing w:line="240" w:lineRule="auto"/>
              <w:ind w:firstLine="0" w:firstLineChars="0"/>
              <w:jc w:val="center"/>
              <w:rPr>
                <w:rFonts w:cs="Times New Roman"/>
                <w:b/>
                <w:bCs/>
                <w:kern w:val="0"/>
                <w:szCs w:val="24"/>
              </w:rPr>
            </w:pPr>
            <w:r>
              <w:rPr>
                <w:rFonts w:cs="Times New Roman"/>
                <w:kern w:val="0"/>
              </w:rPr>
              <w:drawing>
                <wp:inline distT="0" distB="0" distL="0" distR="0">
                  <wp:extent cx="3872865" cy="29057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3872865" cy="2905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24" w:type="pct"/>
            <w:vMerge w:val="continue"/>
            <w:vAlign w:val="center"/>
          </w:tcPr>
          <w:p>
            <w:pPr>
              <w:adjustRightInd w:val="0"/>
              <w:snapToGrid w:val="0"/>
              <w:spacing w:line="240" w:lineRule="auto"/>
              <w:ind w:firstLine="0" w:firstLineChars="0"/>
              <w:jc w:val="center"/>
              <w:rPr>
                <w:rFonts w:cs="Times New Roman"/>
                <w:b/>
                <w:bCs/>
                <w:kern w:val="0"/>
                <w:szCs w:val="24"/>
              </w:rPr>
            </w:pPr>
          </w:p>
        </w:tc>
        <w:tc>
          <w:tcPr>
            <w:tcW w:w="770" w:type="pct"/>
            <w:vMerge w:val="continue"/>
            <w:vAlign w:val="center"/>
          </w:tcPr>
          <w:p>
            <w:pPr>
              <w:adjustRightInd w:val="0"/>
              <w:snapToGrid w:val="0"/>
              <w:spacing w:line="240" w:lineRule="auto"/>
              <w:ind w:firstLine="0" w:firstLineChars="0"/>
              <w:jc w:val="center"/>
              <w:rPr>
                <w:rFonts w:hint="eastAsia" w:cs="Times New Roman"/>
                <w:b/>
                <w:bCs/>
                <w:kern w:val="0"/>
                <w:szCs w:val="24"/>
              </w:rPr>
            </w:pPr>
          </w:p>
        </w:tc>
        <w:tc>
          <w:tcPr>
            <w:tcW w:w="3806" w:type="pct"/>
            <w:vAlign w:val="center"/>
          </w:tcPr>
          <w:p>
            <w:pPr>
              <w:adjustRightInd w:val="0"/>
              <w:snapToGrid w:val="0"/>
              <w:spacing w:line="240" w:lineRule="auto"/>
              <w:ind w:firstLine="0" w:firstLineChars="0"/>
              <w:jc w:val="center"/>
              <w:rPr>
                <w:rFonts w:cs="Times New Roman"/>
                <w:kern w:val="0"/>
              </w:rPr>
            </w:pPr>
            <w:r>
              <w:rPr>
                <w:rFonts w:cs="Times New Roman"/>
                <w:kern w:val="0"/>
              </w:rPr>
              <w:drawing>
                <wp:inline distT="0" distB="0" distL="0" distR="0">
                  <wp:extent cx="3872865" cy="27870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3872865" cy="2787015"/>
                          </a:xfrm>
                          <a:prstGeom prst="rect">
                            <a:avLst/>
                          </a:prstGeom>
                        </pic:spPr>
                      </pic:pic>
                    </a:graphicData>
                  </a:graphic>
                </wp:inline>
              </w:drawing>
            </w:r>
          </w:p>
        </w:tc>
      </w:tr>
    </w:tbl>
    <w:p>
      <w:pPr>
        <w:adjustRightInd w:val="0"/>
        <w:snapToGrid w:val="0"/>
        <w:spacing w:line="348" w:lineRule="auto"/>
        <w:ind w:firstLine="0" w:firstLineChars="0"/>
        <w:jc w:val="center"/>
        <w:rPr>
          <w:rFonts w:cs="Times New Roman"/>
          <w:b/>
          <w:sz w:val="28"/>
          <w:szCs w:val="28"/>
        </w:rPr>
        <w:sectPr>
          <w:pgSz w:w="11906" w:h="16838"/>
          <w:pgMar w:top="1440" w:right="1800" w:bottom="1440" w:left="1800" w:header="851" w:footer="992" w:gutter="0"/>
          <w:cols w:space="425" w:num="1"/>
          <w:docGrid w:type="lines" w:linePitch="326" w:charSpace="0"/>
        </w:sectPr>
      </w:pPr>
      <w:r>
        <w:rPr>
          <w:rFonts w:cs="Times New Roman"/>
          <w:b/>
          <w:sz w:val="28"/>
          <w:szCs w:val="28"/>
        </w:rPr>
        <w:t>图3.2-3  现场张贴公告照片</w:t>
      </w:r>
    </w:p>
    <w:p>
      <w:pPr>
        <w:pStyle w:val="3"/>
        <w:spacing w:before="156" w:after="156"/>
        <w:rPr>
          <w:rFonts w:cs="Times New Roman"/>
          <w:b w:val="0"/>
          <w:sz w:val="28"/>
          <w:szCs w:val="28"/>
        </w:rPr>
      </w:pPr>
      <w:bookmarkStart w:id="19" w:name="_Toc76542528"/>
      <w:r>
        <w:rPr>
          <w:rFonts w:cs="Times New Roman"/>
          <w:sz w:val="28"/>
          <w:szCs w:val="28"/>
        </w:rPr>
        <w:t>3.3 公众提出意见情况</w:t>
      </w:r>
      <w:bookmarkEnd w:id="19"/>
    </w:p>
    <w:p>
      <w:pPr>
        <w:adjustRightInd w:val="0"/>
        <w:snapToGrid w:val="0"/>
        <w:spacing w:line="348" w:lineRule="auto"/>
        <w:ind w:firstLine="660" w:firstLineChars="0"/>
        <w:rPr>
          <w:rFonts w:cs="Times New Roman"/>
          <w:sz w:val="28"/>
          <w:szCs w:val="28"/>
        </w:rPr>
        <w:sectPr>
          <w:pgSz w:w="11906" w:h="16838"/>
          <w:pgMar w:top="1440" w:right="1800" w:bottom="1440" w:left="1800" w:header="851" w:footer="992" w:gutter="0"/>
          <w:cols w:space="425" w:num="1"/>
          <w:docGrid w:type="lines" w:linePitch="312" w:charSpace="0"/>
        </w:sectPr>
      </w:pPr>
      <w:r>
        <w:rPr>
          <w:rFonts w:cs="Times New Roman"/>
          <w:sz w:val="28"/>
          <w:szCs w:val="28"/>
        </w:rPr>
        <w:t>在征求意见稿公示期间未收到公众反馈意见（包括电话、传真、邮件等各种形式）。</w:t>
      </w:r>
    </w:p>
    <w:p>
      <w:pPr>
        <w:pStyle w:val="2"/>
        <w:spacing w:before="0" w:beforeLines="0" w:after="156"/>
        <w:rPr>
          <w:rFonts w:cs="Times New Roman"/>
          <w:sz w:val="36"/>
          <w:szCs w:val="36"/>
        </w:rPr>
      </w:pPr>
      <w:bookmarkStart w:id="20" w:name="_Toc76542529"/>
      <w:r>
        <w:rPr>
          <w:rFonts w:cs="Times New Roman"/>
          <w:sz w:val="36"/>
          <w:szCs w:val="36"/>
        </w:rPr>
        <w:t xml:space="preserve">4 </w:t>
      </w:r>
      <w:r>
        <w:rPr>
          <w:rFonts w:cs="Times New Roman"/>
          <w:kern w:val="2"/>
          <w:sz w:val="36"/>
          <w:szCs w:val="36"/>
        </w:rPr>
        <w:t>其他公众参与情况</w:t>
      </w:r>
      <w:bookmarkEnd w:id="20"/>
    </w:p>
    <w:p>
      <w:pPr>
        <w:ind w:firstLine="560"/>
        <w:rPr>
          <w:rFonts w:cs="Times New Roman"/>
          <w:sz w:val="28"/>
          <w:szCs w:val="28"/>
        </w:rPr>
      </w:pPr>
      <w:r>
        <w:rPr>
          <w:rFonts w:cs="Times New Roman"/>
          <w:sz w:val="28"/>
          <w:szCs w:val="28"/>
        </w:rPr>
        <w:t>无。</w:t>
      </w:r>
    </w:p>
    <w:p>
      <w:pPr>
        <w:ind w:firstLine="560"/>
        <w:rPr>
          <w:rFonts w:cs="Times New Roman"/>
          <w:color w:val="FF0000"/>
          <w:sz w:val="28"/>
          <w:szCs w:val="28"/>
        </w:rPr>
        <w:sectPr>
          <w:pgSz w:w="11906" w:h="16838"/>
          <w:pgMar w:top="1440" w:right="1800" w:bottom="1440" w:left="1800" w:header="851" w:footer="992" w:gutter="0"/>
          <w:cols w:space="425" w:num="1"/>
          <w:docGrid w:type="lines" w:linePitch="312" w:charSpace="0"/>
        </w:sectPr>
      </w:pPr>
    </w:p>
    <w:p>
      <w:pPr>
        <w:pStyle w:val="2"/>
        <w:spacing w:before="0" w:beforeLines="0" w:after="156"/>
        <w:rPr>
          <w:rFonts w:cs="Times New Roman"/>
          <w:sz w:val="36"/>
          <w:szCs w:val="36"/>
        </w:rPr>
      </w:pPr>
      <w:bookmarkStart w:id="21" w:name="_Toc76542530"/>
      <w:r>
        <w:rPr>
          <w:rFonts w:cs="Times New Roman"/>
          <w:sz w:val="36"/>
          <w:szCs w:val="36"/>
        </w:rPr>
        <w:t>5 公众意见处理</w:t>
      </w:r>
      <w:bookmarkEnd w:id="21"/>
    </w:p>
    <w:p>
      <w:pPr>
        <w:ind w:firstLine="560"/>
        <w:rPr>
          <w:rFonts w:cs="Times New Roman"/>
          <w:sz w:val="28"/>
          <w:szCs w:val="28"/>
        </w:rPr>
        <w:sectPr>
          <w:pgSz w:w="11906" w:h="16838"/>
          <w:pgMar w:top="1440" w:right="1800" w:bottom="1440" w:left="1800" w:header="851" w:footer="992" w:gutter="0"/>
          <w:cols w:space="425" w:num="1"/>
          <w:docGrid w:type="lines" w:linePitch="312" w:charSpace="0"/>
        </w:sectPr>
      </w:pPr>
      <w:r>
        <w:rPr>
          <w:rFonts w:cs="Times New Roman"/>
          <w:sz w:val="28"/>
          <w:szCs w:val="28"/>
        </w:rPr>
        <w:t>在进行网络公示、现场张贴公告及报纸公开期间，没有收到任何反馈意见（包括电话、传真、邮件等各种形式）。</w:t>
      </w:r>
    </w:p>
    <w:p>
      <w:pPr>
        <w:pStyle w:val="2"/>
        <w:spacing w:before="156" w:after="156"/>
        <w:rPr>
          <w:rFonts w:cs="Times New Roman"/>
          <w:sz w:val="36"/>
          <w:szCs w:val="36"/>
        </w:rPr>
      </w:pPr>
      <w:bookmarkStart w:id="22" w:name="_Toc76542531"/>
      <w:bookmarkStart w:id="23" w:name="_Hlk25742756"/>
      <w:r>
        <w:rPr>
          <w:rFonts w:cs="Times New Roman"/>
          <w:sz w:val="36"/>
          <w:szCs w:val="36"/>
        </w:rPr>
        <w:t>6 诚信承诺</w:t>
      </w:r>
      <w:bookmarkEnd w:id="22"/>
      <w:r>
        <w:rPr>
          <w:rFonts w:cs="Times New Roman"/>
          <w:sz w:val="36"/>
          <w:szCs w:val="36"/>
        </w:rPr>
        <w:t xml:space="preserve"> </w:t>
      </w:r>
    </w:p>
    <w:p>
      <w:pPr>
        <w:ind w:firstLine="560"/>
        <w:rPr>
          <w:rFonts w:cs="Times New Roman"/>
          <w:b/>
          <w:sz w:val="28"/>
          <w:szCs w:val="28"/>
        </w:rPr>
      </w:pPr>
      <w:r>
        <w:rPr>
          <w:rFonts w:cs="Times New Roman"/>
          <w:sz w:val="28"/>
          <w:szCs w:val="28"/>
        </w:rPr>
        <w:t>我单位已按照《办法》要求，在</w:t>
      </w:r>
      <w:r>
        <w:rPr>
          <w:rFonts w:hint="eastAsia" w:cs="Times New Roman"/>
          <w:bCs/>
          <w:sz w:val="28"/>
          <w:szCs w:val="28"/>
        </w:rPr>
        <w:t>盛虹炼化一体化仓储罐区（港前大道东地块）项目</w:t>
      </w:r>
      <w:r>
        <w:rPr>
          <w:rFonts w:cs="Times New Roman"/>
          <w:sz w:val="28"/>
          <w:szCs w:val="28"/>
        </w:rPr>
        <w:t>环境影响报告书编制阶段开展了公众参与工作，并按照要求编制了公众参与说明，公示期间未收到公众意见。</w:t>
      </w:r>
    </w:p>
    <w:p>
      <w:pPr>
        <w:ind w:firstLine="560"/>
        <w:rPr>
          <w:rFonts w:cs="Times New Roman"/>
          <w:sz w:val="28"/>
          <w:szCs w:val="28"/>
        </w:rPr>
      </w:pPr>
      <w:r>
        <w:rPr>
          <w:rFonts w:cs="Times New Roman"/>
          <w:sz w:val="28"/>
          <w:szCs w:val="28"/>
        </w:rPr>
        <w:t>我单位承诺，本次提交的《</w:t>
      </w:r>
      <w:r>
        <w:rPr>
          <w:rFonts w:hint="eastAsia" w:cs="Times New Roman"/>
          <w:bCs/>
          <w:sz w:val="28"/>
          <w:szCs w:val="28"/>
        </w:rPr>
        <w:t>盛虹炼化一体化仓储罐区（港前大道东地块）项目</w:t>
      </w:r>
      <w:r>
        <w:rPr>
          <w:rFonts w:cs="Times New Roman"/>
          <w:sz w:val="28"/>
          <w:szCs w:val="28"/>
        </w:rPr>
        <w:t>环境影响评价公众参与说明》内容客观、真实，未包含依法不得公开的国家秘密、商业秘密、个人隐私。如存在弄虚作假、隐瞒欺骗等情况及由此导致的一切后果由</w:t>
      </w:r>
      <w:r>
        <w:rPr>
          <w:rFonts w:hint="eastAsia" w:cs="Times New Roman"/>
          <w:sz w:val="28"/>
          <w:szCs w:val="28"/>
        </w:rPr>
        <w:t>盛虹炼化（连云港）有限公司</w:t>
      </w:r>
      <w:r>
        <w:rPr>
          <w:rFonts w:cs="Times New Roman"/>
          <w:sz w:val="28"/>
          <w:szCs w:val="28"/>
        </w:rPr>
        <w:t>承担全部责任。</w:t>
      </w:r>
    </w:p>
    <w:p>
      <w:pPr>
        <w:ind w:firstLine="560"/>
        <w:rPr>
          <w:rFonts w:cs="Times New Roman"/>
          <w:color w:val="FF0000"/>
          <w:sz w:val="28"/>
          <w:szCs w:val="28"/>
        </w:rPr>
      </w:pPr>
    </w:p>
    <w:p>
      <w:pPr>
        <w:ind w:firstLine="560"/>
        <w:rPr>
          <w:rFonts w:cs="Times New Roman"/>
          <w:color w:val="FF0000"/>
          <w:sz w:val="28"/>
          <w:szCs w:val="28"/>
        </w:rPr>
      </w:pPr>
    </w:p>
    <w:p>
      <w:pPr>
        <w:ind w:firstLine="560"/>
        <w:rPr>
          <w:rFonts w:cs="Times New Roman"/>
          <w:color w:val="FF0000"/>
          <w:sz w:val="28"/>
          <w:szCs w:val="28"/>
        </w:rPr>
      </w:pPr>
    </w:p>
    <w:p>
      <w:pPr>
        <w:ind w:firstLine="560"/>
        <w:rPr>
          <w:rFonts w:cs="Times New Roman"/>
          <w:sz w:val="28"/>
          <w:szCs w:val="28"/>
        </w:rPr>
      </w:pPr>
      <w:r>
        <w:rPr>
          <w:rFonts w:cs="Times New Roman"/>
          <w:color w:val="FF0000"/>
          <w:sz w:val="28"/>
          <w:szCs w:val="28"/>
        </w:rPr>
        <w:t xml:space="preserve">               </w:t>
      </w:r>
      <w:r>
        <w:rPr>
          <w:rFonts w:cs="Times New Roman"/>
          <w:sz w:val="28"/>
          <w:szCs w:val="28"/>
        </w:rPr>
        <w:t xml:space="preserve">  承诺单位：</w:t>
      </w:r>
      <w:r>
        <w:rPr>
          <w:rFonts w:hint="eastAsia" w:cs="Times New Roman"/>
          <w:bCs/>
          <w:sz w:val="28"/>
          <w:szCs w:val="28"/>
        </w:rPr>
        <w:t>盛虹炼化（连云港）有限公司</w:t>
      </w:r>
    </w:p>
    <w:p>
      <w:pPr>
        <w:ind w:firstLine="560"/>
        <w:rPr>
          <w:rFonts w:cs="Times New Roman"/>
          <w:sz w:val="28"/>
          <w:szCs w:val="28"/>
        </w:rPr>
      </w:pPr>
      <w:r>
        <w:rPr>
          <w:rFonts w:cs="Times New Roman"/>
          <w:sz w:val="28"/>
          <w:szCs w:val="28"/>
        </w:rPr>
        <w:t xml:space="preserve">                             承诺时间：2022年1月</w:t>
      </w:r>
      <w:r>
        <w:rPr>
          <w:rFonts w:hint="eastAsia" w:cs="Times New Roman"/>
          <w:sz w:val="28"/>
          <w:szCs w:val="28"/>
          <w:lang w:val="en-US" w:eastAsia="zh-CN"/>
        </w:rPr>
        <w:t>4</w:t>
      </w:r>
      <w:bookmarkStart w:id="24" w:name="_GoBack"/>
      <w:bookmarkEnd w:id="24"/>
      <w:r>
        <w:rPr>
          <w:rFonts w:cs="Times New Roman"/>
          <w:sz w:val="28"/>
          <w:szCs w:val="28"/>
        </w:rPr>
        <w:t>日</w:t>
      </w:r>
      <w:bookmarkEnd w:id="23"/>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3666834"/>
      <w:docPartObj>
        <w:docPartGallery w:val="AutoText"/>
      </w:docPartObj>
    </w:sdtPr>
    <w:sdtContent>
      <w:p>
        <w:pPr>
          <w:pStyle w:val="14"/>
          <w:ind w:left="960" w:firstLine="360"/>
          <w:jc w:val="center"/>
        </w:pPr>
        <w:r>
          <w:fldChar w:fldCharType="begin"/>
        </w:r>
        <w:r>
          <w:instrText xml:space="preserve">PAGE   \* MERGEFORMAT</w:instrText>
        </w:r>
        <w:r>
          <w:fldChar w:fldCharType="separate"/>
        </w:r>
        <w:r>
          <w:rPr>
            <w:lang w:val="zh-CN"/>
          </w:rPr>
          <w:t>1</w:t>
        </w:r>
        <w:r>
          <w:fldChar w:fldCharType="end"/>
        </w:r>
      </w:p>
    </w:sdtContent>
  </w:sdt>
  <w:p>
    <w:pPr>
      <w:pStyle w:val="14"/>
      <w:ind w:left="9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8127078"/>
      <w:docPartObj>
        <w:docPartGallery w:val="AutoText"/>
      </w:docPartObj>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pPr>
      <w:pStyle w:val="14"/>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486993"/>
      <w:docPartObj>
        <w:docPartGallery w:val="AutoText"/>
      </w:docPartObj>
    </w:sdtPr>
    <w:sdtContent>
      <w:p>
        <w:pPr>
          <w:pStyle w:val="14"/>
          <w:ind w:firstLine="0" w:firstLineChars="0"/>
          <w:jc w:val="center"/>
        </w:pPr>
        <w:r>
          <w:fldChar w:fldCharType="begin"/>
        </w:r>
        <w:r>
          <w:instrText xml:space="preserve">PAGE   \* MERGEFORMAT</w:instrText>
        </w:r>
        <w:r>
          <w:fldChar w:fldCharType="separate"/>
        </w:r>
        <w:r>
          <w:rPr>
            <w:lang w:val="zh-CN"/>
          </w:rPr>
          <w:t>20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8816116"/>
      <w:docPartObj>
        <w:docPartGallery w:val="AutoText"/>
      </w:docPartObj>
    </w:sdtPr>
    <w:sdtContent>
      <w:p>
        <w:pPr>
          <w:pStyle w:val="14"/>
          <w:ind w:firstLine="0" w:firstLineChars="0"/>
          <w:jc w:val="center"/>
        </w:pPr>
        <w:r>
          <w:fldChar w:fldCharType="begin"/>
        </w:r>
        <w:r>
          <w:instrText xml:space="preserve">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96C"/>
    <w:rsid w:val="000001CD"/>
    <w:rsid w:val="00004DCD"/>
    <w:rsid w:val="00011647"/>
    <w:rsid w:val="00012920"/>
    <w:rsid w:val="00012970"/>
    <w:rsid w:val="00025834"/>
    <w:rsid w:val="00030BE6"/>
    <w:rsid w:val="00034D64"/>
    <w:rsid w:val="0006262B"/>
    <w:rsid w:val="00081C4E"/>
    <w:rsid w:val="0008206B"/>
    <w:rsid w:val="0008681C"/>
    <w:rsid w:val="000A0D09"/>
    <w:rsid w:val="000A407C"/>
    <w:rsid w:val="000C04D6"/>
    <w:rsid w:val="000C08E5"/>
    <w:rsid w:val="000F0C50"/>
    <w:rsid w:val="000F1C21"/>
    <w:rsid w:val="00101D32"/>
    <w:rsid w:val="00102BFD"/>
    <w:rsid w:val="00112486"/>
    <w:rsid w:val="00112C82"/>
    <w:rsid w:val="00135302"/>
    <w:rsid w:val="001408DD"/>
    <w:rsid w:val="00153AA5"/>
    <w:rsid w:val="00161FB7"/>
    <w:rsid w:val="00187671"/>
    <w:rsid w:val="00190331"/>
    <w:rsid w:val="001A3A42"/>
    <w:rsid w:val="001B3881"/>
    <w:rsid w:val="001D78DB"/>
    <w:rsid w:val="001D7E02"/>
    <w:rsid w:val="001F370E"/>
    <w:rsid w:val="002032A0"/>
    <w:rsid w:val="002069A4"/>
    <w:rsid w:val="00224926"/>
    <w:rsid w:val="00241564"/>
    <w:rsid w:val="0025484E"/>
    <w:rsid w:val="002664FB"/>
    <w:rsid w:val="00285E86"/>
    <w:rsid w:val="00296986"/>
    <w:rsid w:val="002A2C08"/>
    <w:rsid w:val="002A4223"/>
    <w:rsid w:val="002A7565"/>
    <w:rsid w:val="002C0B57"/>
    <w:rsid w:val="002C43FA"/>
    <w:rsid w:val="002E7D94"/>
    <w:rsid w:val="003116DF"/>
    <w:rsid w:val="00313EB0"/>
    <w:rsid w:val="00314140"/>
    <w:rsid w:val="00317766"/>
    <w:rsid w:val="003513CE"/>
    <w:rsid w:val="00351CE0"/>
    <w:rsid w:val="00361EF3"/>
    <w:rsid w:val="0036747A"/>
    <w:rsid w:val="003750B3"/>
    <w:rsid w:val="00375C55"/>
    <w:rsid w:val="003831BD"/>
    <w:rsid w:val="00385266"/>
    <w:rsid w:val="0038588C"/>
    <w:rsid w:val="00387CFA"/>
    <w:rsid w:val="00390A2E"/>
    <w:rsid w:val="003944F4"/>
    <w:rsid w:val="00394977"/>
    <w:rsid w:val="003A20C0"/>
    <w:rsid w:val="003A2762"/>
    <w:rsid w:val="003A4D70"/>
    <w:rsid w:val="003A7A12"/>
    <w:rsid w:val="003B0CEF"/>
    <w:rsid w:val="003C30DD"/>
    <w:rsid w:val="003E5889"/>
    <w:rsid w:val="00411FC0"/>
    <w:rsid w:val="0041291A"/>
    <w:rsid w:val="004302FF"/>
    <w:rsid w:val="00444894"/>
    <w:rsid w:val="004457FD"/>
    <w:rsid w:val="00466233"/>
    <w:rsid w:val="0048731F"/>
    <w:rsid w:val="004B2C91"/>
    <w:rsid w:val="004C6AFD"/>
    <w:rsid w:val="004E332D"/>
    <w:rsid w:val="004F2ED4"/>
    <w:rsid w:val="0050657E"/>
    <w:rsid w:val="00525A79"/>
    <w:rsid w:val="00527A3E"/>
    <w:rsid w:val="00551D86"/>
    <w:rsid w:val="00555D40"/>
    <w:rsid w:val="00562DB8"/>
    <w:rsid w:val="00563FB1"/>
    <w:rsid w:val="00565B5D"/>
    <w:rsid w:val="005755CD"/>
    <w:rsid w:val="005A7A8B"/>
    <w:rsid w:val="005B6BB1"/>
    <w:rsid w:val="005C276D"/>
    <w:rsid w:val="005F665D"/>
    <w:rsid w:val="00601C57"/>
    <w:rsid w:val="00602015"/>
    <w:rsid w:val="006051FF"/>
    <w:rsid w:val="00624E16"/>
    <w:rsid w:val="006356F3"/>
    <w:rsid w:val="00652236"/>
    <w:rsid w:val="00652854"/>
    <w:rsid w:val="00665F38"/>
    <w:rsid w:val="00666238"/>
    <w:rsid w:val="00666B9F"/>
    <w:rsid w:val="006705F9"/>
    <w:rsid w:val="00675B7F"/>
    <w:rsid w:val="00681016"/>
    <w:rsid w:val="006829C1"/>
    <w:rsid w:val="006A2983"/>
    <w:rsid w:val="006B09F4"/>
    <w:rsid w:val="006C79E7"/>
    <w:rsid w:val="006E5427"/>
    <w:rsid w:val="006F3742"/>
    <w:rsid w:val="00706CF6"/>
    <w:rsid w:val="0071051E"/>
    <w:rsid w:val="00730DD2"/>
    <w:rsid w:val="00732476"/>
    <w:rsid w:val="00732A8D"/>
    <w:rsid w:val="00732EFE"/>
    <w:rsid w:val="00761179"/>
    <w:rsid w:val="00797200"/>
    <w:rsid w:val="007B5ECC"/>
    <w:rsid w:val="007B62A9"/>
    <w:rsid w:val="007F68E0"/>
    <w:rsid w:val="007F697F"/>
    <w:rsid w:val="00805ACC"/>
    <w:rsid w:val="00807EC8"/>
    <w:rsid w:val="0081059D"/>
    <w:rsid w:val="00825DCC"/>
    <w:rsid w:val="008376C1"/>
    <w:rsid w:val="00864115"/>
    <w:rsid w:val="00867F6A"/>
    <w:rsid w:val="0087431B"/>
    <w:rsid w:val="0088522D"/>
    <w:rsid w:val="008859F3"/>
    <w:rsid w:val="008B4A02"/>
    <w:rsid w:val="008C4A61"/>
    <w:rsid w:val="008D0A4C"/>
    <w:rsid w:val="008D2B01"/>
    <w:rsid w:val="008D4F3C"/>
    <w:rsid w:val="008D7EE1"/>
    <w:rsid w:val="008E1206"/>
    <w:rsid w:val="008F0A3C"/>
    <w:rsid w:val="0091486C"/>
    <w:rsid w:val="00922158"/>
    <w:rsid w:val="009615D9"/>
    <w:rsid w:val="00964752"/>
    <w:rsid w:val="00965A41"/>
    <w:rsid w:val="009862EF"/>
    <w:rsid w:val="009879E1"/>
    <w:rsid w:val="00987DD3"/>
    <w:rsid w:val="00990DFC"/>
    <w:rsid w:val="00993E09"/>
    <w:rsid w:val="00996284"/>
    <w:rsid w:val="0099760E"/>
    <w:rsid w:val="009A2631"/>
    <w:rsid w:val="009E0CA2"/>
    <w:rsid w:val="009E62F1"/>
    <w:rsid w:val="009F7129"/>
    <w:rsid w:val="00A47975"/>
    <w:rsid w:val="00A66682"/>
    <w:rsid w:val="00A7571B"/>
    <w:rsid w:val="00A924C5"/>
    <w:rsid w:val="00A93C53"/>
    <w:rsid w:val="00A95F58"/>
    <w:rsid w:val="00AA6FEF"/>
    <w:rsid w:val="00AC10FD"/>
    <w:rsid w:val="00AD0985"/>
    <w:rsid w:val="00AD497F"/>
    <w:rsid w:val="00AD62E1"/>
    <w:rsid w:val="00AE6589"/>
    <w:rsid w:val="00AE76C1"/>
    <w:rsid w:val="00B0675E"/>
    <w:rsid w:val="00B24CF2"/>
    <w:rsid w:val="00B2632D"/>
    <w:rsid w:val="00B5146C"/>
    <w:rsid w:val="00B66CB0"/>
    <w:rsid w:val="00B86573"/>
    <w:rsid w:val="00B91AE5"/>
    <w:rsid w:val="00BB778A"/>
    <w:rsid w:val="00C0612F"/>
    <w:rsid w:val="00C2796C"/>
    <w:rsid w:val="00C432EF"/>
    <w:rsid w:val="00C87B4C"/>
    <w:rsid w:val="00C932C3"/>
    <w:rsid w:val="00C963FA"/>
    <w:rsid w:val="00CA1D00"/>
    <w:rsid w:val="00CA2F8B"/>
    <w:rsid w:val="00CB372A"/>
    <w:rsid w:val="00CC0D5B"/>
    <w:rsid w:val="00CD3CA8"/>
    <w:rsid w:val="00CF7C46"/>
    <w:rsid w:val="00D15D59"/>
    <w:rsid w:val="00D373F2"/>
    <w:rsid w:val="00D4438C"/>
    <w:rsid w:val="00D51643"/>
    <w:rsid w:val="00D84A1D"/>
    <w:rsid w:val="00DA08D2"/>
    <w:rsid w:val="00DB5FAA"/>
    <w:rsid w:val="00DC15D2"/>
    <w:rsid w:val="00DD47A2"/>
    <w:rsid w:val="00DE0875"/>
    <w:rsid w:val="00DE1617"/>
    <w:rsid w:val="00DF3026"/>
    <w:rsid w:val="00E13993"/>
    <w:rsid w:val="00E2762F"/>
    <w:rsid w:val="00E312C3"/>
    <w:rsid w:val="00E6097C"/>
    <w:rsid w:val="00EA0F9A"/>
    <w:rsid w:val="00EB0606"/>
    <w:rsid w:val="00EE1714"/>
    <w:rsid w:val="00EE6906"/>
    <w:rsid w:val="00EF4A70"/>
    <w:rsid w:val="00F27899"/>
    <w:rsid w:val="00F35CD2"/>
    <w:rsid w:val="00F45599"/>
    <w:rsid w:val="00F506FD"/>
    <w:rsid w:val="00F54888"/>
    <w:rsid w:val="00F64FAF"/>
    <w:rsid w:val="00F875F5"/>
    <w:rsid w:val="00FA4019"/>
    <w:rsid w:val="00FB16B1"/>
    <w:rsid w:val="00FC60FB"/>
    <w:rsid w:val="00FE2ADA"/>
    <w:rsid w:val="00FE5C63"/>
    <w:rsid w:val="00FE62C1"/>
    <w:rsid w:val="00FE77BC"/>
    <w:rsid w:val="00FF09E1"/>
    <w:rsid w:val="387C7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qFormat="1" w:uiPriority="0" w:name="index 1"/>
    <w:lsdException w:qFormat="1" w:uiPriority="0" w:name="index 2"/>
    <w:lsdException w:qFormat="1" w:uiPriority="0" w:name="index 3"/>
    <w:lsdException w:qFormat="1" w:uiPriority="0" w:name="index 4"/>
    <w:lsdException w:qFormat="1" w:uiPriority="0" w:name="index 5"/>
    <w:lsdException w:qFormat="1" w:uiPriority="0" w:name="index 6"/>
    <w:lsdException w:qFormat="1" w:uiPriority="0" w:name="index 7"/>
    <w:lsdException w:qFormat="1" w:uiPriority="0" w:name="index 8"/>
    <w:lsdException w:qFormat="1" w:uiPriority="0"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0" w:name="Normal Indent"/>
    <w:lsdException w:qFormat="1" w:uiPriority="0" w:name="footnote text"/>
    <w:lsdException w:qFormat="1" w:uiPriority="0" w:name="annotation text"/>
    <w:lsdException w:qFormat="1" w:uiPriority="99" w:semiHidden="0" w:name="header"/>
    <w:lsdException w:qFormat="1" w:uiPriority="99" w:semiHidden="0" w:name="footer"/>
    <w:lsdException w:qFormat="1" w:uiPriority="0" w:name="index heading"/>
    <w:lsdException w:qFormat="1" w:uiPriority="0" w:name="caption"/>
    <w:lsdException w:qFormat="1" w:uiPriority="0" w:name="table of figures"/>
    <w:lsdException w:qFormat="1" w:uiPriority="0" w:name="envelope address"/>
    <w:lsdException w:qFormat="1" w:uiPriority="0" w:name="envelope return"/>
    <w:lsdException w:qFormat="1" w:uiPriority="0" w:name="footnote reference"/>
    <w:lsdException w:qFormat="1" w:uiPriority="0" w:semiHidden="0" w:name="annotation reference"/>
    <w:lsdException w:qFormat="1" w:uiPriority="0" w:name="line number"/>
    <w:lsdException w:qFormat="1" w:uiPriority="0" w:name="page number"/>
    <w:lsdException w:qFormat="1" w:uiPriority="0" w:name="endnote reference"/>
    <w:lsdException w:qFormat="1" w:uiPriority="0" w:name="endnote text"/>
    <w:lsdException w:qFormat="1" w:uiPriority="0" w:name="table of authorities"/>
    <w:lsdException w:qFormat="1" w:uiPriority="0" w:name="macro"/>
    <w:lsdException w:qFormat="1" w:uiPriority="0" w:name="toa heading"/>
    <w:lsdException w:qFormat="1" w:uiPriority="0" w:name="List"/>
    <w:lsdException w:qFormat="1" w:uiPriority="0" w:name="List Bullet"/>
    <w:lsdException w:qFormat="1" w:uiPriority="0" w:name="List Number"/>
    <w:lsdException w:qFormat="1" w:uiPriority="0" w:name="List 2"/>
    <w:lsdException w:qFormat="1" w:uiPriority="0" w:name="List 3"/>
    <w:lsdException w:qFormat="1" w:uiPriority="0" w:name="List 4"/>
    <w:lsdException w:qFormat="1" w:uiPriority="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nhideWhenUsed="0" w:uiPriority="0" w:semiHidden="0" w:name="Title"/>
    <w:lsdException w:qFormat="1" w:uiPriority="0" w:name="Closing"/>
    <w:lsdException w:qFormat="1" w:uiPriority="0" w:name="Signature"/>
    <w:lsdException w:uiPriority="1" w:name="Default Paragraph Font"/>
    <w:lsdException w:qFormat="1" w:uiPriority="0" w:name="Body Text"/>
    <w:lsdException w:qFormat="1" w:uiPriority="0" w:name="Body Text Indent"/>
    <w:lsdException w:qFormat="1" w:uiPriority="0" w:name="List Continue"/>
    <w:lsdException w:qFormat="1" w:uiPriority="0" w:name="List Continue 2"/>
    <w:lsdException w:qFormat="1" w:uiPriority="0" w:name="List Continue 3"/>
    <w:lsdException w:qFormat="1" w:uiPriority="0" w:name="List Continue 4"/>
    <w:lsdException w:qFormat="1" w:uiPriority="0" w:name="List Continue 5"/>
    <w:lsdException w:qFormat="1" w:uiPriority="0" w:name="Message Header"/>
    <w:lsdException w:qFormat="1" w:unhideWhenUsed="0" w:uiPriority="1" w:semiHidden="0" w:name="Subtitle"/>
    <w:lsdException w:qFormat="1" w:uiPriority="0" w:name="Salutation"/>
    <w:lsdException w:qFormat="1" w:uiPriority="0" w:name="Date"/>
    <w:lsdException w:qFormat="1" w:uiPriority="0" w:name="Body Text First Indent"/>
    <w:lsdException w:qFormat="1" w:uiPriority="0" w:name="Body Text First Indent 2"/>
    <w:lsdException w:qFormat="1" w:uiPriority="0" w:name="Note Heading"/>
    <w:lsdException w:qFormat="1" w:uiPriority="0" w:name="Body Text 2"/>
    <w:lsdException w:qFormat="1" w:uiPriority="0" w:name="Body Text 3"/>
    <w:lsdException w:qFormat="1" w:uiPriority="0" w:name="Body Text Indent 2"/>
    <w:lsdException w:qFormat="1" w:uiPriority="99" w:name="Body Text Indent 3"/>
    <w:lsdException w:qFormat="1" w:uiPriority="0" w:name="Block Text"/>
    <w:lsdException w:uiPriority="99" w:semiHidden="0" w:name="Hyperlink"/>
    <w:lsdException w:uiPriority="99" w:name="FollowedHyperlink"/>
    <w:lsdException w:qFormat="1" w:unhideWhenUsed="0" w:uiPriority="1" w:semiHidden="0" w:name="Strong"/>
    <w:lsdException w:qFormat="1" w:unhideWhenUsed="0" w:uiPriority="1" w:semiHidden="0" w:name="Emphasis"/>
    <w:lsdException w:qFormat="1" w:uiPriority="99" w:name="Document Map"/>
    <w:lsdException w:qFormat="1" w:uiPriority="0" w:name="Plain Text"/>
    <w:lsdException w:qFormat="1" w:uiPriority="0" w:name="E-mail Signature"/>
    <w:lsdException w:qFormat="1" w:uiPriority="99" w:name="Normal (Web)"/>
    <w:lsdException w:qFormat="1" w:uiPriority="0" w:name="HTML Acronym"/>
    <w:lsdException w:qFormat="1" w:uiPriority="0" w:name="HTML Address"/>
    <w:lsdException w:qFormat="1" w:uiPriority="0" w:name="HTML Cite"/>
    <w:lsdException w:qFormat="1" w:uiPriority="0" w:name="HTML Code"/>
    <w:lsdException w:qFormat="1" w:uiPriority="0" w:name="HTML Definition"/>
    <w:lsdException w:qFormat="1" w:uiPriority="0" w:name="HTML Keyboard"/>
    <w:lsdException w:qFormat="1" w:uiPriority="0" w:name="HTML Preformatted"/>
    <w:lsdException w:qFormat="1" w:uiPriority="0" w:name="HTML Sample"/>
    <w:lsdException w:qFormat="1" w:uiPriority="0" w:name="HTML Typewriter"/>
    <w:lsdException w:qFormat="1" w:uiPriority="0" w:name="HTML Variable"/>
    <w:lsdException w:uiPriority="99" w:name="Normal Table"/>
    <w:lsdException w:qFormat="1" w:uiPriority="0" w:name="annotation subject"/>
    <w:lsdException w:uiPriority="0" w:name="Table Simple 1"/>
    <w:lsdException w:uiPriority="0" w:name="Table Simple 2"/>
    <w:lsdException w:qFormat="1" w:uiPriority="0" w:name="Table Simple 3"/>
    <w:lsdException w:uiPriority="0" w:name="Table Classic 1"/>
    <w:lsdException w:uiPriority="0" w:name="Table Classic 2"/>
    <w:lsdException w:qFormat="1" w:uiPriority="0" w:name="Table Classic 3"/>
    <w:lsdException w:uiPriority="0" w:name="Table Classic 4"/>
    <w:lsdException w:qFormat="1" w:uiPriority="0" w:name="Table Colorful 1"/>
    <w:lsdException w:uiPriority="0" w:name="Table Colorful 2"/>
    <w:lsdException w:uiPriority="0" w:name="Table Colorful 3"/>
    <w:lsdException w:uiPriority="0" w:name="Table Columns 1"/>
    <w:lsdException w:qFormat="1" w:uiPriority="0" w:name="Table Columns 2"/>
    <w:lsdException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uiPriority="0" w:name="Table Grid 5"/>
    <w:lsdException w:qFormat="1" w:uiPriority="0" w:name="Table Grid 6"/>
    <w:lsdException w:qFormat="1" w:uiPriority="0" w:name="Table Grid 7"/>
    <w:lsdException w:uiPriority="0" w:name="Table Grid 8"/>
    <w:lsdException w:uiPriority="0" w:name="Table List 1"/>
    <w:lsdException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uiPriority="0" w:name="Table Elegant"/>
    <w:lsdException w:uiPriority="0" w:name="Table Professional"/>
    <w:lsdException w:qFormat="1"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5"/>
    <w:qFormat/>
    <w:uiPriority w:val="0"/>
    <w:pPr>
      <w:keepNext/>
      <w:keepLines/>
      <w:spacing w:before="50" w:beforeLines="50" w:after="50" w:afterLines="50"/>
      <w:ind w:firstLine="0" w:firstLineChars="0"/>
      <w:outlineLvl w:val="0"/>
    </w:pPr>
    <w:rPr>
      <w:b/>
      <w:bCs/>
      <w:kern w:val="44"/>
      <w:sz w:val="32"/>
      <w:szCs w:val="44"/>
    </w:rPr>
  </w:style>
  <w:style w:type="paragraph" w:styleId="3">
    <w:name w:val="heading 2"/>
    <w:basedOn w:val="1"/>
    <w:next w:val="1"/>
    <w:link w:val="26"/>
    <w:unhideWhenUsed/>
    <w:qFormat/>
    <w:uiPriority w:val="0"/>
    <w:pPr>
      <w:keepNext/>
      <w:keepLines/>
      <w:spacing w:before="50" w:beforeLines="50" w:after="50" w:afterLines="50"/>
      <w:ind w:firstLine="0" w:firstLineChars="0"/>
      <w:outlineLvl w:val="1"/>
    </w:pPr>
    <w:rPr>
      <w:rFonts w:cstheme="majorBidi"/>
      <w:b/>
      <w:bCs/>
      <w:sz w:val="30"/>
      <w:szCs w:val="32"/>
    </w:rPr>
  </w:style>
  <w:style w:type="paragraph" w:styleId="4">
    <w:name w:val="heading 3"/>
    <w:basedOn w:val="1"/>
    <w:next w:val="1"/>
    <w:link w:val="27"/>
    <w:unhideWhenUsed/>
    <w:qFormat/>
    <w:uiPriority w:val="0"/>
    <w:pPr>
      <w:keepNext/>
      <w:keepLines/>
      <w:ind w:firstLine="0" w:firstLineChars="0"/>
      <w:outlineLvl w:val="2"/>
    </w:pPr>
    <w:rPr>
      <w:b/>
      <w:bCs/>
      <w:sz w:val="28"/>
      <w:szCs w:val="32"/>
    </w:rPr>
  </w:style>
  <w:style w:type="paragraph" w:styleId="5">
    <w:name w:val="heading 4"/>
    <w:basedOn w:val="1"/>
    <w:next w:val="1"/>
    <w:link w:val="28"/>
    <w:unhideWhenUsed/>
    <w:qFormat/>
    <w:uiPriority w:val="0"/>
    <w:pPr>
      <w:keepNext/>
      <w:keepLines/>
      <w:ind w:firstLine="0" w:firstLineChars="0"/>
      <w:outlineLvl w:val="3"/>
    </w:pPr>
    <w:rPr>
      <w:rFonts w:cstheme="majorBidi"/>
      <w:b/>
      <w:bCs/>
      <w:szCs w:val="28"/>
    </w:rPr>
  </w:style>
  <w:style w:type="paragraph" w:styleId="6">
    <w:name w:val="heading 5"/>
    <w:basedOn w:val="1"/>
    <w:next w:val="1"/>
    <w:link w:val="29"/>
    <w:unhideWhenUsed/>
    <w:qFormat/>
    <w:uiPriority w:val="9"/>
    <w:pPr>
      <w:keepNext/>
      <w:keepLines/>
      <w:spacing w:line="360" w:lineRule="auto"/>
      <w:jc w:val="left"/>
      <w:outlineLvl w:val="4"/>
    </w:pPr>
    <w:rPr>
      <w:b/>
      <w:bCs/>
      <w:szCs w:val="28"/>
    </w:rPr>
  </w:style>
  <w:style w:type="paragraph" w:styleId="7">
    <w:name w:val="heading 6"/>
    <w:basedOn w:val="1"/>
    <w:next w:val="1"/>
    <w:link w:val="30"/>
    <w:qFormat/>
    <w:uiPriority w:val="1"/>
    <w:pPr>
      <w:keepNext/>
      <w:keepLines/>
      <w:spacing w:before="240" w:after="64" w:line="320" w:lineRule="auto"/>
      <w:outlineLvl w:val="5"/>
    </w:pPr>
    <w:rPr>
      <w:rFonts w:ascii="Arial" w:hAnsi="Arial" w:eastAsia="黑体" w:cs="Times New Roman"/>
      <w:b/>
    </w:rPr>
  </w:style>
  <w:style w:type="paragraph" w:styleId="8">
    <w:name w:val="heading 7"/>
    <w:basedOn w:val="1"/>
    <w:next w:val="1"/>
    <w:link w:val="31"/>
    <w:qFormat/>
    <w:uiPriority w:val="1"/>
    <w:pPr>
      <w:keepNext/>
      <w:keepLines/>
      <w:spacing w:before="240" w:after="64" w:line="320" w:lineRule="auto"/>
      <w:outlineLvl w:val="6"/>
    </w:pPr>
    <w:rPr>
      <w:rFonts w:cs="Times New Roman"/>
      <w:b/>
    </w:rPr>
  </w:style>
  <w:style w:type="paragraph" w:styleId="9">
    <w:name w:val="heading 8"/>
    <w:basedOn w:val="1"/>
    <w:next w:val="1"/>
    <w:link w:val="32"/>
    <w:qFormat/>
    <w:uiPriority w:val="1"/>
    <w:pPr>
      <w:keepNext/>
      <w:keepLines/>
      <w:spacing w:before="240" w:after="64" w:line="320" w:lineRule="auto"/>
      <w:outlineLvl w:val="7"/>
    </w:pPr>
    <w:rPr>
      <w:rFonts w:ascii="Arial" w:hAnsi="Arial" w:eastAsia="黑体" w:cs="Times New Roman"/>
    </w:rPr>
  </w:style>
  <w:style w:type="paragraph" w:styleId="10">
    <w:name w:val="heading 9"/>
    <w:basedOn w:val="1"/>
    <w:next w:val="1"/>
    <w:link w:val="33"/>
    <w:qFormat/>
    <w:uiPriority w:val="1"/>
    <w:pPr>
      <w:keepNext/>
      <w:keepLines/>
      <w:spacing w:before="240" w:after="64" w:line="320" w:lineRule="auto"/>
      <w:outlineLvl w:val="8"/>
    </w:pPr>
    <w:rPr>
      <w:rFonts w:ascii="Arial" w:hAnsi="Arial" w:eastAsia="黑体" w:cs="Times New Roman"/>
      <w:sz w:val="28"/>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7"/>
    <w:semiHidden/>
    <w:unhideWhenUsed/>
    <w:qFormat/>
    <w:uiPriority w:val="0"/>
    <w:pPr>
      <w:jc w:val="left"/>
    </w:pPr>
  </w:style>
  <w:style w:type="paragraph" w:styleId="12">
    <w:name w:val="toc 3"/>
    <w:basedOn w:val="1"/>
    <w:next w:val="1"/>
    <w:unhideWhenUsed/>
    <w:qFormat/>
    <w:uiPriority w:val="39"/>
    <w:pPr>
      <w:tabs>
        <w:tab w:val="right" w:leader="dot" w:pos="8296"/>
      </w:tabs>
      <w:ind w:left="480" w:leftChars="200" w:firstLine="480"/>
    </w:pPr>
  </w:style>
  <w:style w:type="paragraph" w:styleId="13">
    <w:name w:val="Balloon Text"/>
    <w:basedOn w:val="1"/>
    <w:link w:val="44"/>
    <w:semiHidden/>
    <w:unhideWhenUsed/>
    <w:qFormat/>
    <w:uiPriority w:val="0"/>
    <w:pPr>
      <w:spacing w:line="240" w:lineRule="auto"/>
    </w:pPr>
    <w:rPr>
      <w:sz w:val="18"/>
      <w:szCs w:val="18"/>
    </w:rPr>
  </w:style>
  <w:style w:type="paragraph" w:styleId="14">
    <w:name w:val="footer"/>
    <w:basedOn w:val="1"/>
    <w:link w:val="42"/>
    <w:unhideWhenUsed/>
    <w:qFormat/>
    <w:uiPriority w:val="99"/>
    <w:pPr>
      <w:tabs>
        <w:tab w:val="center" w:pos="4153"/>
        <w:tab w:val="right" w:pos="8306"/>
      </w:tabs>
      <w:snapToGrid w:val="0"/>
      <w:spacing w:line="240" w:lineRule="atLeast"/>
      <w:jc w:val="left"/>
    </w:pPr>
    <w:rPr>
      <w:sz w:val="18"/>
      <w:szCs w:val="18"/>
    </w:rPr>
  </w:style>
  <w:style w:type="paragraph" w:styleId="15">
    <w:name w:val="header"/>
    <w:basedOn w:val="1"/>
    <w:link w:val="4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6">
    <w:name w:val="toc 1"/>
    <w:basedOn w:val="1"/>
    <w:next w:val="1"/>
    <w:unhideWhenUsed/>
    <w:qFormat/>
    <w:uiPriority w:val="39"/>
    <w:pPr>
      <w:tabs>
        <w:tab w:val="right" w:leader="dot" w:pos="8296"/>
      </w:tabs>
      <w:ind w:firstLine="0" w:firstLineChars="0"/>
    </w:pPr>
  </w:style>
  <w:style w:type="paragraph" w:styleId="17">
    <w:name w:val="toc 2"/>
    <w:basedOn w:val="1"/>
    <w:next w:val="1"/>
    <w:unhideWhenUsed/>
    <w:qFormat/>
    <w:uiPriority w:val="39"/>
    <w:pPr>
      <w:tabs>
        <w:tab w:val="right" w:leader="dot" w:pos="8296"/>
      </w:tabs>
      <w:ind w:firstLine="480"/>
    </w:pPr>
  </w:style>
  <w:style w:type="paragraph" w:styleId="18">
    <w:name w:val="Title"/>
    <w:basedOn w:val="1"/>
    <w:next w:val="1"/>
    <w:link w:val="38"/>
    <w:qFormat/>
    <w:uiPriority w:val="0"/>
    <w:pPr>
      <w:spacing w:before="240" w:after="60"/>
      <w:jc w:val="center"/>
      <w:outlineLvl w:val="0"/>
    </w:pPr>
    <w:rPr>
      <w:rFonts w:asciiTheme="majorHAnsi" w:hAnsiTheme="majorHAnsi" w:eastAsiaTheme="majorEastAsia" w:cstheme="majorBidi"/>
      <w:b/>
      <w:bCs/>
      <w:sz w:val="32"/>
      <w:szCs w:val="32"/>
    </w:rPr>
  </w:style>
  <w:style w:type="paragraph" w:styleId="19">
    <w:name w:val="annotation subject"/>
    <w:basedOn w:val="11"/>
    <w:next w:val="11"/>
    <w:link w:val="48"/>
    <w:semiHidden/>
    <w:unhideWhenUsed/>
    <w:qFormat/>
    <w:uiPriority w:val="0"/>
    <w:rPr>
      <w:b/>
      <w:bCs/>
    </w:rPr>
  </w:style>
  <w:style w:type="table" w:styleId="21">
    <w:name w:val="Table Grid"/>
    <w:basedOn w:val="2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uiPriority w:val="99"/>
    <w:rPr>
      <w:color w:val="0563C1" w:themeColor="hyperlink"/>
      <w:u w:val="single"/>
      <w14:textFill>
        <w14:solidFill>
          <w14:schemeClr w14:val="hlink"/>
        </w14:solidFill>
      </w14:textFill>
    </w:rPr>
  </w:style>
  <w:style w:type="character" w:styleId="24">
    <w:name w:val="annotation reference"/>
    <w:basedOn w:val="22"/>
    <w:unhideWhenUsed/>
    <w:qFormat/>
    <w:uiPriority w:val="0"/>
    <w:rPr>
      <w:sz w:val="21"/>
      <w:szCs w:val="21"/>
    </w:rPr>
  </w:style>
  <w:style w:type="character" w:customStyle="1" w:styleId="25">
    <w:name w:val="标题 1 字符"/>
    <w:basedOn w:val="22"/>
    <w:link w:val="2"/>
    <w:uiPriority w:val="0"/>
    <w:rPr>
      <w:rFonts w:ascii="Times New Roman" w:hAnsi="Times New Roman" w:eastAsia="宋体"/>
      <w:b/>
      <w:bCs/>
      <w:kern w:val="44"/>
      <w:sz w:val="32"/>
      <w:szCs w:val="44"/>
    </w:rPr>
  </w:style>
  <w:style w:type="character" w:customStyle="1" w:styleId="26">
    <w:name w:val="标题 2 字符"/>
    <w:basedOn w:val="22"/>
    <w:link w:val="3"/>
    <w:uiPriority w:val="0"/>
    <w:rPr>
      <w:rFonts w:ascii="Times New Roman" w:hAnsi="Times New Roman" w:eastAsia="宋体" w:cstheme="majorBidi"/>
      <w:b/>
      <w:bCs/>
      <w:sz w:val="30"/>
      <w:szCs w:val="32"/>
    </w:rPr>
  </w:style>
  <w:style w:type="character" w:customStyle="1" w:styleId="27">
    <w:name w:val="标题 3 字符"/>
    <w:basedOn w:val="22"/>
    <w:link w:val="4"/>
    <w:qFormat/>
    <w:uiPriority w:val="0"/>
    <w:rPr>
      <w:rFonts w:ascii="Times New Roman" w:hAnsi="Times New Roman" w:eastAsia="宋体"/>
      <w:b/>
      <w:bCs/>
      <w:sz w:val="28"/>
      <w:szCs w:val="32"/>
    </w:rPr>
  </w:style>
  <w:style w:type="character" w:customStyle="1" w:styleId="28">
    <w:name w:val="标题 4 字符"/>
    <w:basedOn w:val="22"/>
    <w:link w:val="5"/>
    <w:uiPriority w:val="0"/>
    <w:rPr>
      <w:rFonts w:ascii="Times New Roman" w:hAnsi="Times New Roman" w:eastAsia="宋体" w:cstheme="majorBidi"/>
      <w:b/>
      <w:bCs/>
      <w:sz w:val="24"/>
      <w:szCs w:val="28"/>
    </w:rPr>
  </w:style>
  <w:style w:type="character" w:customStyle="1" w:styleId="29">
    <w:name w:val="标题 5 字符"/>
    <w:basedOn w:val="22"/>
    <w:link w:val="6"/>
    <w:qFormat/>
    <w:uiPriority w:val="9"/>
    <w:rPr>
      <w:rFonts w:ascii="Times New Roman" w:hAnsi="Times New Roman" w:eastAsia="宋体"/>
      <w:b/>
      <w:bCs/>
      <w:sz w:val="24"/>
      <w:szCs w:val="28"/>
    </w:rPr>
  </w:style>
  <w:style w:type="character" w:customStyle="1" w:styleId="30">
    <w:name w:val="标题 6 字符"/>
    <w:basedOn w:val="22"/>
    <w:link w:val="7"/>
    <w:qFormat/>
    <w:uiPriority w:val="1"/>
    <w:rPr>
      <w:rFonts w:ascii="Arial" w:hAnsi="Arial" w:eastAsia="黑体" w:cs="Times New Roman"/>
      <w:b/>
      <w:sz w:val="24"/>
    </w:rPr>
  </w:style>
  <w:style w:type="character" w:customStyle="1" w:styleId="31">
    <w:name w:val="标题 7 字符"/>
    <w:basedOn w:val="22"/>
    <w:link w:val="8"/>
    <w:qFormat/>
    <w:uiPriority w:val="1"/>
    <w:rPr>
      <w:rFonts w:ascii="Times New Roman" w:hAnsi="Times New Roman" w:eastAsia="宋体" w:cs="Times New Roman"/>
      <w:b/>
      <w:sz w:val="24"/>
    </w:rPr>
  </w:style>
  <w:style w:type="character" w:customStyle="1" w:styleId="32">
    <w:name w:val="标题 8 字符"/>
    <w:basedOn w:val="22"/>
    <w:link w:val="9"/>
    <w:qFormat/>
    <w:uiPriority w:val="1"/>
    <w:rPr>
      <w:rFonts w:ascii="Arial" w:hAnsi="Arial" w:eastAsia="黑体" w:cs="Times New Roman"/>
      <w:sz w:val="24"/>
    </w:rPr>
  </w:style>
  <w:style w:type="character" w:customStyle="1" w:styleId="33">
    <w:name w:val="标题 9 字符"/>
    <w:basedOn w:val="22"/>
    <w:link w:val="10"/>
    <w:qFormat/>
    <w:uiPriority w:val="1"/>
    <w:rPr>
      <w:rFonts w:ascii="Arial" w:hAnsi="Arial" w:eastAsia="黑体" w:cs="Times New Roman"/>
      <w:sz w:val="28"/>
    </w:rPr>
  </w:style>
  <w:style w:type="paragraph" w:customStyle="1" w:styleId="34">
    <w:name w:val="表格标题-LC"/>
    <w:basedOn w:val="1"/>
    <w:link w:val="35"/>
    <w:qFormat/>
    <w:uiPriority w:val="0"/>
    <w:pPr>
      <w:ind w:firstLine="0" w:firstLineChars="0"/>
      <w:jc w:val="center"/>
    </w:pPr>
    <w:rPr>
      <w:b/>
    </w:rPr>
  </w:style>
  <w:style w:type="character" w:customStyle="1" w:styleId="35">
    <w:name w:val="表格标题-LC 字符"/>
    <w:basedOn w:val="22"/>
    <w:link w:val="34"/>
    <w:qFormat/>
    <w:uiPriority w:val="0"/>
    <w:rPr>
      <w:rFonts w:ascii="Times New Roman" w:hAnsi="Times New Roman" w:eastAsia="宋体"/>
      <w:b/>
      <w:sz w:val="24"/>
    </w:rPr>
  </w:style>
  <w:style w:type="paragraph" w:customStyle="1" w:styleId="36">
    <w:name w:val="备注-LC"/>
    <w:basedOn w:val="34"/>
    <w:link w:val="37"/>
    <w:qFormat/>
    <w:uiPriority w:val="0"/>
    <w:pPr>
      <w:spacing w:line="240" w:lineRule="auto"/>
      <w:ind w:firstLine="200" w:firstLineChars="200"/>
      <w:jc w:val="left"/>
    </w:pPr>
    <w:rPr>
      <w:rFonts w:cs="仿宋"/>
      <w:sz w:val="18"/>
    </w:rPr>
  </w:style>
  <w:style w:type="character" w:customStyle="1" w:styleId="37">
    <w:name w:val="备注-LC 字符"/>
    <w:basedOn w:val="35"/>
    <w:link w:val="36"/>
    <w:qFormat/>
    <w:uiPriority w:val="0"/>
    <w:rPr>
      <w:rFonts w:ascii="Times New Roman" w:hAnsi="Times New Roman" w:eastAsia="宋体" w:cs="仿宋"/>
      <w:sz w:val="18"/>
    </w:rPr>
  </w:style>
  <w:style w:type="character" w:customStyle="1" w:styleId="38">
    <w:name w:val="标题 字符"/>
    <w:basedOn w:val="22"/>
    <w:link w:val="18"/>
    <w:qFormat/>
    <w:uiPriority w:val="0"/>
    <w:rPr>
      <w:rFonts w:asciiTheme="majorHAnsi" w:hAnsiTheme="majorHAnsi" w:eastAsiaTheme="majorEastAsia" w:cstheme="majorBidi"/>
      <w:b/>
      <w:bCs/>
      <w:sz w:val="32"/>
      <w:szCs w:val="32"/>
    </w:rPr>
  </w:style>
  <w:style w:type="paragraph" w:customStyle="1" w:styleId="39">
    <w:name w:val="LC-表格内文字"/>
    <w:basedOn w:val="1"/>
    <w:link w:val="40"/>
    <w:qFormat/>
    <w:uiPriority w:val="0"/>
    <w:pPr>
      <w:widowControl/>
      <w:spacing w:line="240" w:lineRule="auto"/>
      <w:ind w:firstLine="0" w:firstLineChars="0"/>
      <w:jc w:val="center"/>
    </w:pPr>
    <w:rPr>
      <w:rFonts w:cs="Times New Roman"/>
      <w:bCs/>
      <w:color w:val="000000" w:themeColor="text1"/>
      <w:sz w:val="21"/>
      <w14:textFill>
        <w14:solidFill>
          <w14:schemeClr w14:val="tx1"/>
        </w14:solidFill>
      </w14:textFill>
    </w:rPr>
  </w:style>
  <w:style w:type="character" w:customStyle="1" w:styleId="40">
    <w:name w:val="LC-表格内文字 字符"/>
    <w:basedOn w:val="22"/>
    <w:link w:val="39"/>
    <w:uiPriority w:val="0"/>
    <w:rPr>
      <w:rFonts w:ascii="Times New Roman" w:hAnsi="Times New Roman" w:eastAsia="宋体" w:cs="Times New Roman"/>
      <w:bCs/>
      <w:color w:val="000000" w:themeColor="text1"/>
      <w14:textFill>
        <w14:solidFill>
          <w14:schemeClr w14:val="tx1"/>
        </w14:solidFill>
      </w14:textFill>
    </w:rPr>
  </w:style>
  <w:style w:type="character" w:customStyle="1" w:styleId="41">
    <w:name w:val="页眉 字符"/>
    <w:basedOn w:val="22"/>
    <w:link w:val="15"/>
    <w:uiPriority w:val="99"/>
    <w:rPr>
      <w:rFonts w:ascii="Times New Roman" w:hAnsi="Times New Roman" w:eastAsia="宋体"/>
      <w:sz w:val="18"/>
      <w:szCs w:val="18"/>
    </w:rPr>
  </w:style>
  <w:style w:type="character" w:customStyle="1" w:styleId="42">
    <w:name w:val="页脚 字符"/>
    <w:basedOn w:val="22"/>
    <w:link w:val="14"/>
    <w:uiPriority w:val="99"/>
    <w:rPr>
      <w:rFonts w:ascii="Times New Roman" w:hAnsi="Times New Roman" w:eastAsia="宋体"/>
      <w:sz w:val="18"/>
      <w:szCs w:val="18"/>
    </w:rPr>
  </w:style>
  <w:style w:type="paragraph" w:customStyle="1" w:styleId="43">
    <w:name w:val="TOC Heading"/>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44">
    <w:name w:val="批注框文本 字符"/>
    <w:basedOn w:val="22"/>
    <w:link w:val="13"/>
    <w:semiHidden/>
    <w:qFormat/>
    <w:uiPriority w:val="0"/>
    <w:rPr>
      <w:rFonts w:ascii="Times New Roman" w:hAnsi="Times New Roman" w:eastAsia="宋体"/>
      <w:sz w:val="18"/>
      <w:szCs w:val="18"/>
    </w:rPr>
  </w:style>
  <w:style w:type="character" w:customStyle="1" w:styleId="45">
    <w:name w:val="未处理的提及1"/>
    <w:basedOn w:val="22"/>
    <w:semiHidden/>
    <w:unhideWhenUsed/>
    <w:qFormat/>
    <w:uiPriority w:val="99"/>
    <w:rPr>
      <w:color w:val="605E5C"/>
      <w:shd w:val="clear" w:color="auto" w:fill="E1DFDD"/>
    </w:rPr>
  </w:style>
  <w:style w:type="character" w:customStyle="1" w:styleId="46">
    <w:name w:val="未处理的提及2"/>
    <w:basedOn w:val="22"/>
    <w:semiHidden/>
    <w:unhideWhenUsed/>
    <w:qFormat/>
    <w:uiPriority w:val="99"/>
    <w:rPr>
      <w:color w:val="605E5C"/>
      <w:shd w:val="clear" w:color="auto" w:fill="E1DFDD"/>
    </w:rPr>
  </w:style>
  <w:style w:type="character" w:customStyle="1" w:styleId="47">
    <w:name w:val="批注文字 字符"/>
    <w:basedOn w:val="22"/>
    <w:link w:val="11"/>
    <w:semiHidden/>
    <w:qFormat/>
    <w:uiPriority w:val="0"/>
    <w:rPr>
      <w:rFonts w:ascii="Times New Roman" w:hAnsi="Times New Roman" w:eastAsia="宋体"/>
      <w:sz w:val="24"/>
      <w:szCs w:val="22"/>
    </w:rPr>
  </w:style>
  <w:style w:type="character" w:customStyle="1" w:styleId="48">
    <w:name w:val="批注主题 字符"/>
    <w:basedOn w:val="47"/>
    <w:link w:val="19"/>
    <w:semiHidden/>
    <w:qFormat/>
    <w:uiPriority w:val="0"/>
    <w:rPr>
      <w:rFonts w:ascii="Times New Roman" w:hAnsi="Times New Roman" w:eastAsia="宋体"/>
      <w:b/>
      <w:bCs/>
      <w:sz w:val="24"/>
      <w:szCs w:val="22"/>
    </w:rPr>
  </w:style>
  <w:style w:type="character" w:customStyle="1" w:styleId="49">
    <w:name w:val="未处理的提及3"/>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5036AB-68AD-4FAE-BDEC-2AC68183A528}">
  <ds:schemaRefs/>
</ds:datastoreItem>
</file>

<file path=docProps/app.xml><?xml version="1.0" encoding="utf-8"?>
<Properties xmlns="http://schemas.openxmlformats.org/officeDocument/2006/extended-properties" xmlns:vt="http://schemas.openxmlformats.org/officeDocument/2006/docPropsVTypes">
  <Template>Normal</Template>
  <Pages>21</Pages>
  <Words>1007</Words>
  <Characters>5740</Characters>
  <Lines>47</Lines>
  <Paragraphs>13</Paragraphs>
  <TotalTime>70</TotalTime>
  <ScaleCrop>false</ScaleCrop>
  <LinksUpToDate>false</LinksUpToDate>
  <CharactersWithSpaces>6734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2021-03-09T05:53:00Z</dcterms:created>
  <dc:creator>刘超</dc:creator>
  <cp:lastModifiedBy>Dream</cp:lastModifiedBy>
  <cp:lastPrinted>2021-03-09T05:58:00Z</cp:lastPrinted>
  <dcterms:modified xsi:type="dcterms:W3CDTF">2022-01-07T02:03:10Z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49DE72C5CBAB4EC3B403A9FF78F30788</vt:lpwstr>
  </property>
</Properties>
</file>